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4BC6" w14:textId="77777777" w:rsidR="004A2BAE" w:rsidRPr="00A61717" w:rsidRDefault="004A2BAE" w:rsidP="004A2BAE">
      <w:pPr>
        <w:spacing w:before="120"/>
        <w:jc w:val="center"/>
        <w:rPr>
          <w:szCs w:val="20"/>
        </w:rPr>
      </w:pPr>
      <w:r>
        <w:rPr>
          <w:cap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BBB97" wp14:editId="6CF86E1D">
                <wp:simplePos x="0" y="0"/>
                <wp:positionH relativeFrom="column">
                  <wp:posOffset>-341630</wp:posOffset>
                </wp:positionH>
                <wp:positionV relativeFrom="paragraph">
                  <wp:posOffset>31750</wp:posOffset>
                </wp:positionV>
                <wp:extent cx="6492875" cy="9354820"/>
                <wp:effectExtent l="0" t="0" r="22225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875" cy="93548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49CA5" id="Прямоугольник 6" o:spid="_x0000_s1026" style="position:absolute;margin-left:-26.9pt;margin-top:2.5pt;width:511.25pt;height:7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" filled="f" strokeweight="2pt"/>
            </w:pict>
          </mc:Fallback>
        </mc:AlternateContent>
      </w:r>
      <w:r w:rsidRPr="00A61717">
        <w:rPr>
          <w:sz w:val="20"/>
          <w:szCs w:val="20"/>
        </w:rPr>
        <w:t>МИНИСТЕРСТВО НАУКИ И ВЫСШЕГО ОБРАЗОВАНИЯ  РОССИЙСКОЙ  ФЕДЕРАЦИИ</w:t>
      </w:r>
    </w:p>
    <w:p w14:paraId="6A639CD4" w14:textId="77777777" w:rsidR="004A2BAE" w:rsidRPr="00A61717" w:rsidRDefault="004A2BAE" w:rsidP="004A2BA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1717">
        <w:rPr>
          <w:bCs/>
          <w:sz w:val="28"/>
          <w:szCs w:val="28"/>
        </w:rPr>
        <w:t xml:space="preserve">ФЕДЕРАЛЬНОЕ ГОСУДАРСТВЕННОЕ БЮДЖЕТНОЕ </w:t>
      </w:r>
    </w:p>
    <w:p w14:paraId="0A84702C" w14:textId="77777777" w:rsidR="004A2BAE" w:rsidRPr="00A61717" w:rsidRDefault="004A2BAE" w:rsidP="004A2BA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1717">
        <w:rPr>
          <w:bCs/>
          <w:sz w:val="28"/>
          <w:szCs w:val="28"/>
        </w:rPr>
        <w:t>ОБРАЗОВАТЕЛЬНОЕ УЧРЕЖДЕНИЕ ВЫСШЕГО  ОБРАЗОВАНИЯ</w:t>
      </w:r>
    </w:p>
    <w:p w14:paraId="15D004D4" w14:textId="77777777" w:rsidR="004A2BAE" w:rsidRPr="00A61717" w:rsidRDefault="004A2BAE" w:rsidP="004A2BA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1717">
        <w:rPr>
          <w:bCs/>
          <w:sz w:val="28"/>
          <w:szCs w:val="28"/>
        </w:rPr>
        <w:t>НАЦИОНАЛЬНЫЙ ИССЛЕДОВАТЕЛЬСКИЙ УНИВЕРСИТЕТ «МЭИ»</w:t>
      </w:r>
    </w:p>
    <w:p w14:paraId="6855FF5F" w14:textId="77777777" w:rsidR="004A2BAE" w:rsidRPr="00A61717" w:rsidRDefault="004A2BAE" w:rsidP="004A2BA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1717">
        <w:rPr>
          <w:bCs/>
          <w:sz w:val="28"/>
          <w:szCs w:val="28"/>
        </w:rPr>
        <w:t>ФГБОУ ВО «НИУ «МЭИ»</w:t>
      </w:r>
    </w:p>
    <w:p w14:paraId="4632CEDB" w14:textId="77777777" w:rsidR="004A2BAE" w:rsidRPr="00A61717" w:rsidRDefault="004A2BAE" w:rsidP="004A2BAE">
      <w:pPr>
        <w:jc w:val="center"/>
        <w:rPr>
          <w:sz w:val="20"/>
          <w:szCs w:val="20"/>
        </w:rPr>
      </w:pPr>
      <w:r w:rsidRPr="00A61717">
        <w:rPr>
          <w:sz w:val="20"/>
          <w:szCs w:val="20"/>
        </w:rPr>
        <w:t xml:space="preserve">111250, Москва, Е-250, </w:t>
      </w:r>
      <w:proofErr w:type="spellStart"/>
      <w:r w:rsidRPr="00A61717">
        <w:rPr>
          <w:sz w:val="20"/>
          <w:szCs w:val="20"/>
        </w:rPr>
        <w:t>Красноказарменная</w:t>
      </w:r>
      <w:proofErr w:type="spellEnd"/>
      <w:r w:rsidRPr="00A61717">
        <w:rPr>
          <w:sz w:val="20"/>
          <w:szCs w:val="20"/>
        </w:rPr>
        <w:t>, 14, тел. (495) 362-74-57, (495) 362-70-17</w:t>
      </w:r>
    </w:p>
    <w:p w14:paraId="26367E41" w14:textId="77777777" w:rsidR="004A2BAE" w:rsidRPr="00A61717" w:rsidRDefault="004A2BAE" w:rsidP="004A2BAE">
      <w:pPr>
        <w:jc w:val="center"/>
        <w:rPr>
          <w:sz w:val="20"/>
          <w:szCs w:val="20"/>
        </w:rPr>
      </w:pPr>
      <w:r>
        <w:rPr>
          <w:caps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A53BB5" wp14:editId="0AF05B42">
                <wp:simplePos x="0" y="0"/>
                <wp:positionH relativeFrom="column">
                  <wp:posOffset>18415</wp:posOffset>
                </wp:positionH>
                <wp:positionV relativeFrom="paragraph">
                  <wp:posOffset>84455</wp:posOffset>
                </wp:positionV>
                <wp:extent cx="5852795" cy="635"/>
                <wp:effectExtent l="0" t="0" r="14605" b="374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9C470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6.65pt" to="462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13963D29" w14:textId="77777777" w:rsidR="004A2BAE" w:rsidRPr="00A61717" w:rsidRDefault="004A2BAE" w:rsidP="004A2BAE">
      <w:pPr>
        <w:jc w:val="both"/>
        <w:rPr>
          <w:sz w:val="20"/>
          <w:szCs w:val="20"/>
        </w:rPr>
      </w:pPr>
    </w:p>
    <w:p w14:paraId="05B5148E" w14:textId="77777777" w:rsidR="004A2BAE" w:rsidRPr="00A61717" w:rsidRDefault="004A2BAE" w:rsidP="004A2BAE">
      <w:pPr>
        <w:jc w:val="both"/>
        <w:rPr>
          <w:sz w:val="20"/>
          <w:szCs w:val="20"/>
        </w:rPr>
      </w:pPr>
    </w:p>
    <w:p w14:paraId="0EE24A14" w14:textId="77777777" w:rsidR="004A2BAE" w:rsidRPr="00A61717" w:rsidRDefault="004A2BAE" w:rsidP="004A2BAE">
      <w:pPr>
        <w:jc w:val="both"/>
        <w:rPr>
          <w:sz w:val="20"/>
          <w:szCs w:val="20"/>
        </w:rPr>
      </w:pPr>
    </w:p>
    <w:p w14:paraId="1A40A77A" w14:textId="77777777" w:rsidR="004A2BAE" w:rsidRPr="00A61717" w:rsidRDefault="004A2BAE" w:rsidP="004A2BAE">
      <w:pPr>
        <w:jc w:val="both"/>
        <w:rPr>
          <w:sz w:val="20"/>
          <w:szCs w:val="20"/>
        </w:rPr>
      </w:pPr>
    </w:p>
    <w:p w14:paraId="3D65AE5D" w14:textId="77777777" w:rsidR="004A2BAE" w:rsidRPr="00A61717" w:rsidRDefault="004A2BAE" w:rsidP="004A2BAE">
      <w:pPr>
        <w:jc w:val="both"/>
        <w:rPr>
          <w:sz w:val="20"/>
          <w:szCs w:val="20"/>
        </w:rPr>
      </w:pPr>
    </w:p>
    <w:p w14:paraId="00DF04B9" w14:textId="77777777" w:rsidR="004A2BAE" w:rsidRPr="00A61717" w:rsidRDefault="004A2BAE" w:rsidP="004A2BAE">
      <w:pPr>
        <w:jc w:val="both"/>
        <w:rPr>
          <w:sz w:val="20"/>
          <w:szCs w:val="20"/>
        </w:rPr>
      </w:pPr>
    </w:p>
    <w:p w14:paraId="06C4E602" w14:textId="77777777" w:rsidR="004A2BAE" w:rsidRPr="00A61717" w:rsidRDefault="004A2BAE" w:rsidP="004A2BAE">
      <w:pPr>
        <w:rPr>
          <w:bCs/>
          <w:sz w:val="40"/>
          <w:szCs w:val="20"/>
        </w:rPr>
      </w:pPr>
    </w:p>
    <w:p w14:paraId="4AB88211" w14:textId="77777777" w:rsidR="004A2BAE" w:rsidRDefault="004A2BAE" w:rsidP="004A2BAE">
      <w:pPr>
        <w:jc w:val="center"/>
        <w:rPr>
          <w:bCs/>
          <w:sz w:val="36"/>
          <w:szCs w:val="20"/>
        </w:rPr>
      </w:pPr>
    </w:p>
    <w:p w14:paraId="23629304" w14:textId="77777777" w:rsidR="004A2BAE" w:rsidRDefault="004A2BAE" w:rsidP="004A2BAE">
      <w:pPr>
        <w:jc w:val="center"/>
        <w:rPr>
          <w:bCs/>
          <w:sz w:val="36"/>
          <w:szCs w:val="20"/>
        </w:rPr>
      </w:pPr>
    </w:p>
    <w:p w14:paraId="17AED187" w14:textId="77777777" w:rsidR="004A2BAE" w:rsidRDefault="004A2BAE" w:rsidP="00250444">
      <w:pPr>
        <w:ind w:right="559"/>
        <w:jc w:val="center"/>
        <w:rPr>
          <w:bCs/>
          <w:sz w:val="36"/>
          <w:szCs w:val="20"/>
        </w:rPr>
      </w:pPr>
    </w:p>
    <w:p w14:paraId="28A8F00D" w14:textId="77777777" w:rsidR="004A2BAE" w:rsidRPr="00A00679" w:rsidRDefault="004A2BAE" w:rsidP="00250444">
      <w:pPr>
        <w:ind w:right="559"/>
        <w:jc w:val="center"/>
        <w:rPr>
          <w:b/>
          <w:bCs/>
          <w:sz w:val="36"/>
          <w:szCs w:val="20"/>
        </w:rPr>
      </w:pPr>
      <w:r w:rsidRPr="00A00679">
        <w:rPr>
          <w:b/>
          <w:bCs/>
          <w:sz w:val="36"/>
          <w:szCs w:val="20"/>
        </w:rPr>
        <w:t>ОТЧЕТ</w:t>
      </w:r>
    </w:p>
    <w:p w14:paraId="740DEB8D" w14:textId="77777777" w:rsidR="004A2BAE" w:rsidRDefault="004A2BAE" w:rsidP="00250444">
      <w:pPr>
        <w:ind w:right="559"/>
        <w:jc w:val="center"/>
        <w:rPr>
          <w:b/>
          <w:bCs/>
          <w:sz w:val="36"/>
          <w:szCs w:val="20"/>
        </w:rPr>
      </w:pPr>
      <w:r w:rsidRPr="00A00679">
        <w:rPr>
          <w:b/>
          <w:bCs/>
          <w:sz w:val="36"/>
          <w:szCs w:val="20"/>
        </w:rPr>
        <w:t>О НАУЧНО-ИССЛЕДОВАТЕЛЬСКОЙ РАБОТЕ</w:t>
      </w:r>
    </w:p>
    <w:p w14:paraId="55126F57" w14:textId="77777777" w:rsidR="004A2BAE" w:rsidRPr="00A00679" w:rsidRDefault="004A2BAE" w:rsidP="00250444">
      <w:pPr>
        <w:ind w:right="559"/>
        <w:jc w:val="center"/>
        <w:rPr>
          <w:b/>
          <w:bCs/>
          <w:sz w:val="40"/>
          <w:szCs w:val="20"/>
        </w:rPr>
      </w:pPr>
    </w:p>
    <w:p w14:paraId="3F4644D5" w14:textId="77777777" w:rsidR="004A2BAE" w:rsidRDefault="004A2BAE" w:rsidP="00250444">
      <w:pPr>
        <w:ind w:right="559"/>
        <w:jc w:val="center"/>
        <w:rPr>
          <w:sz w:val="28"/>
          <w:szCs w:val="20"/>
        </w:rPr>
      </w:pPr>
      <w:r>
        <w:rPr>
          <w:sz w:val="28"/>
          <w:szCs w:val="20"/>
        </w:rPr>
        <w:t>по теме:</w:t>
      </w:r>
    </w:p>
    <w:p w14:paraId="05CB6C42" w14:textId="77777777" w:rsidR="004A2BAE" w:rsidRPr="00A61717" w:rsidRDefault="004A2BAE" w:rsidP="00250444">
      <w:pPr>
        <w:ind w:right="559"/>
        <w:jc w:val="center"/>
        <w:rPr>
          <w:sz w:val="28"/>
          <w:szCs w:val="20"/>
        </w:rPr>
      </w:pPr>
    </w:p>
    <w:p w14:paraId="6804E163" w14:textId="27920BF8" w:rsidR="004A2BAE" w:rsidRPr="00A61717" w:rsidRDefault="004A2BAE" w:rsidP="00250444">
      <w:pPr>
        <w:tabs>
          <w:tab w:val="left" w:pos="9356"/>
        </w:tabs>
        <w:ind w:left="-142" w:right="276"/>
        <w:jc w:val="center"/>
        <w:rPr>
          <w:b/>
          <w:caps/>
          <w:sz w:val="28"/>
          <w:szCs w:val="28"/>
        </w:rPr>
      </w:pPr>
      <w:r w:rsidRPr="00A61717">
        <w:rPr>
          <w:rFonts w:eastAsia="Calibri"/>
          <w:sz w:val="28"/>
        </w:rPr>
        <w:t xml:space="preserve">АНАЛИЗ </w:t>
      </w:r>
      <w:r>
        <w:rPr>
          <w:rFonts w:eastAsia="Calibri"/>
          <w:sz w:val="28"/>
        </w:rPr>
        <w:t>ТРАВМАТИЗМА С ЛЕТАЛЬНЫМ ИСХОДОМ НА ПОДНАДЗОРНЫХ РОСТЕХНАДЗОРУ ЭНЕРГЕТИЧЕСКИХ ОБЪЕКТАХ</w:t>
      </w:r>
      <w:r w:rsidR="008E1F54">
        <w:rPr>
          <w:rFonts w:eastAsia="Calibri"/>
          <w:sz w:val="28"/>
        </w:rPr>
        <w:t xml:space="preserve"> ЗА ПЕРИОД 2011-2020 ГГ.</w:t>
      </w:r>
      <w:r>
        <w:rPr>
          <w:rFonts w:eastAsia="Calibri"/>
          <w:sz w:val="28"/>
        </w:rPr>
        <w:t xml:space="preserve"> И ФОРМИРОВАНИЕ РЕКОМЕНДАЦИЙ ПО СНИЖЕНИЮ УРОВНЯ ТРАВМАТИЗМА</w:t>
      </w:r>
    </w:p>
    <w:p w14:paraId="1E4782C3" w14:textId="77777777" w:rsidR="004A2BAE" w:rsidRPr="00A61717" w:rsidRDefault="004A2BAE" w:rsidP="004A2BAE">
      <w:pPr>
        <w:jc w:val="center"/>
      </w:pPr>
      <w:r w:rsidRPr="00A61717">
        <w:t xml:space="preserve"> </w:t>
      </w:r>
    </w:p>
    <w:p w14:paraId="3870269E" w14:textId="77777777" w:rsidR="004A2BAE" w:rsidRPr="00A61717" w:rsidRDefault="004A2BAE" w:rsidP="004A2BAE">
      <w:pPr>
        <w:jc w:val="center"/>
      </w:pPr>
    </w:p>
    <w:p w14:paraId="41864295" w14:textId="77777777" w:rsidR="004A2BAE" w:rsidRPr="00A61717" w:rsidRDefault="004A2BAE" w:rsidP="004A2BAE">
      <w:pPr>
        <w:jc w:val="center"/>
      </w:pPr>
    </w:p>
    <w:p w14:paraId="56B51708" w14:textId="77777777" w:rsidR="004A2BAE" w:rsidRDefault="004A2BAE" w:rsidP="004A2BAE">
      <w:pPr>
        <w:spacing w:line="360" w:lineRule="auto"/>
        <w:jc w:val="both"/>
        <w:rPr>
          <w:rFonts w:eastAsia="Calibri"/>
          <w:bCs/>
          <w:color w:val="000000"/>
        </w:rPr>
      </w:pPr>
    </w:p>
    <w:p w14:paraId="7C4183FD" w14:textId="77777777" w:rsidR="004A2BAE" w:rsidRDefault="004A2BAE" w:rsidP="004A2BAE">
      <w:pPr>
        <w:spacing w:line="360" w:lineRule="auto"/>
        <w:jc w:val="both"/>
        <w:rPr>
          <w:rFonts w:eastAsia="Calibri"/>
          <w:bCs/>
          <w:color w:val="000000"/>
        </w:rPr>
      </w:pPr>
    </w:p>
    <w:p w14:paraId="78718B4D" w14:textId="77777777" w:rsidR="004A2BAE" w:rsidRDefault="004A2BAE" w:rsidP="004A2BAE">
      <w:pPr>
        <w:spacing w:line="360" w:lineRule="auto"/>
        <w:jc w:val="both"/>
        <w:rPr>
          <w:rFonts w:eastAsia="Calibri"/>
          <w:bCs/>
          <w:color w:val="000000"/>
        </w:rPr>
      </w:pPr>
    </w:p>
    <w:p w14:paraId="36F9F5B2" w14:textId="77777777" w:rsidR="004A2BAE" w:rsidRDefault="004A2BAE" w:rsidP="004A2BAE">
      <w:pPr>
        <w:spacing w:line="360" w:lineRule="auto"/>
        <w:jc w:val="both"/>
        <w:rPr>
          <w:rFonts w:eastAsia="Calibri"/>
          <w:bCs/>
          <w:color w:val="000000"/>
        </w:rPr>
      </w:pPr>
    </w:p>
    <w:p w14:paraId="2E5376B8" w14:textId="77777777" w:rsidR="004A2BAE" w:rsidRPr="00A61717" w:rsidRDefault="004A2BAE" w:rsidP="004A2BAE">
      <w:pPr>
        <w:spacing w:line="360" w:lineRule="auto"/>
        <w:jc w:val="both"/>
        <w:rPr>
          <w:rFonts w:eastAsia="Calibri"/>
          <w:bCs/>
          <w:color w:val="000000"/>
        </w:rPr>
      </w:pPr>
    </w:p>
    <w:p w14:paraId="52FE4E81" w14:textId="77777777" w:rsidR="004A2BAE" w:rsidRDefault="004A2BAE" w:rsidP="004A2BAE">
      <w:pPr>
        <w:jc w:val="center"/>
        <w:rPr>
          <w:sz w:val="28"/>
          <w:szCs w:val="20"/>
        </w:rPr>
      </w:pPr>
    </w:p>
    <w:p w14:paraId="011686A8" w14:textId="77777777" w:rsidR="004A2BAE" w:rsidRDefault="004A2BAE" w:rsidP="004A2BAE">
      <w:pPr>
        <w:jc w:val="center"/>
        <w:rPr>
          <w:sz w:val="28"/>
          <w:szCs w:val="20"/>
        </w:rPr>
      </w:pPr>
    </w:p>
    <w:p w14:paraId="58387BB3" w14:textId="77777777" w:rsidR="004A2BAE" w:rsidRPr="00A61717" w:rsidRDefault="004A2BAE" w:rsidP="004A2BAE">
      <w:pPr>
        <w:jc w:val="center"/>
        <w:rPr>
          <w:sz w:val="28"/>
          <w:szCs w:val="20"/>
        </w:rPr>
      </w:pPr>
    </w:p>
    <w:p w14:paraId="09EE635D" w14:textId="77777777" w:rsidR="004A2BAE" w:rsidRDefault="004A2BAE" w:rsidP="004A2BAE">
      <w:pPr>
        <w:jc w:val="center"/>
        <w:rPr>
          <w:sz w:val="28"/>
          <w:szCs w:val="20"/>
        </w:rPr>
      </w:pPr>
    </w:p>
    <w:p w14:paraId="1966A3DB" w14:textId="77777777" w:rsidR="004A2BAE" w:rsidRDefault="004A2BAE" w:rsidP="004A2BAE">
      <w:pPr>
        <w:jc w:val="center"/>
        <w:rPr>
          <w:sz w:val="28"/>
          <w:szCs w:val="20"/>
        </w:rPr>
      </w:pPr>
    </w:p>
    <w:p w14:paraId="11A8BD76" w14:textId="77777777" w:rsidR="004A2BAE" w:rsidRDefault="004A2BAE" w:rsidP="004A2BAE">
      <w:pPr>
        <w:jc w:val="center"/>
        <w:rPr>
          <w:sz w:val="28"/>
          <w:szCs w:val="20"/>
        </w:rPr>
      </w:pPr>
    </w:p>
    <w:p w14:paraId="1179147D" w14:textId="77777777" w:rsidR="004A2BAE" w:rsidRDefault="004A2BAE" w:rsidP="004A2BAE">
      <w:pPr>
        <w:jc w:val="center"/>
        <w:rPr>
          <w:sz w:val="28"/>
          <w:szCs w:val="20"/>
        </w:rPr>
      </w:pPr>
    </w:p>
    <w:p w14:paraId="6D13B0DC" w14:textId="77777777" w:rsidR="004A2BAE" w:rsidRPr="00A61717" w:rsidRDefault="004A2BAE" w:rsidP="004A2BAE">
      <w:pPr>
        <w:jc w:val="center"/>
        <w:rPr>
          <w:sz w:val="28"/>
          <w:szCs w:val="20"/>
        </w:rPr>
      </w:pPr>
    </w:p>
    <w:p w14:paraId="2774E3A1" w14:textId="7F4BDD2B" w:rsidR="004A2BAE" w:rsidRDefault="004A2BAE" w:rsidP="004A2BAE">
      <w:pPr>
        <w:jc w:val="center"/>
      </w:pPr>
      <w:r w:rsidRPr="00A61717">
        <w:rPr>
          <w:sz w:val="28"/>
          <w:szCs w:val="20"/>
        </w:rPr>
        <w:t>Москва  20</w:t>
      </w:r>
      <w:r>
        <w:rPr>
          <w:sz w:val="28"/>
          <w:szCs w:val="20"/>
        </w:rPr>
        <w:t>2</w:t>
      </w:r>
      <w:r w:rsidR="00D11B0B">
        <w:rPr>
          <w:sz w:val="28"/>
          <w:szCs w:val="20"/>
        </w:rPr>
        <w:t>1</w:t>
      </w:r>
    </w:p>
    <w:p w14:paraId="4A4D6D22" w14:textId="77777777" w:rsidR="004A2BAE" w:rsidRDefault="004A2BAE">
      <w:pPr>
        <w:rPr>
          <w:b/>
          <w:caps/>
          <w:color w:val="000000"/>
        </w:rPr>
      </w:pPr>
    </w:p>
    <w:p w14:paraId="17607C6F" w14:textId="632A0CE3" w:rsidR="00E255D2" w:rsidRPr="00EC5210" w:rsidRDefault="008D504E" w:rsidP="00C616B5">
      <w:pPr>
        <w:pStyle w:val="a7"/>
        <w:numPr>
          <w:ilvl w:val="0"/>
          <w:numId w:val="3"/>
        </w:numPr>
        <w:spacing w:line="360" w:lineRule="auto"/>
        <w:ind w:left="0" w:firstLine="0"/>
        <w:jc w:val="center"/>
        <w:rPr>
          <w:b/>
        </w:rPr>
      </w:pPr>
      <w:r w:rsidRPr="00EC5210">
        <w:rPr>
          <w:b/>
        </w:rPr>
        <w:lastRenderedPageBreak/>
        <w:t>Анализ статистических данных по распределению количества несчастных случаев на объектах</w:t>
      </w:r>
      <w:r w:rsidR="00381A21">
        <w:rPr>
          <w:b/>
        </w:rPr>
        <w:t>,</w:t>
      </w:r>
      <w:r w:rsidRPr="00EC5210">
        <w:rPr>
          <w:b/>
        </w:rPr>
        <w:t xml:space="preserve"> поднадзорных </w:t>
      </w:r>
      <w:r>
        <w:rPr>
          <w:b/>
        </w:rPr>
        <w:t>Р</w:t>
      </w:r>
      <w:r w:rsidRPr="00EC5210">
        <w:rPr>
          <w:b/>
        </w:rPr>
        <w:t>остехнадзору</w:t>
      </w:r>
    </w:p>
    <w:p w14:paraId="6B9261F3" w14:textId="77777777" w:rsidR="00713FED" w:rsidRDefault="00713FED" w:rsidP="00171536">
      <w:pPr>
        <w:spacing w:line="360" w:lineRule="auto"/>
        <w:ind w:firstLine="709"/>
        <w:jc w:val="both"/>
        <w:rPr>
          <w:b/>
        </w:rPr>
      </w:pPr>
    </w:p>
    <w:p w14:paraId="6CCC8A8F" w14:textId="72DF6DE7" w:rsidR="008D504E" w:rsidRPr="008D504E" w:rsidRDefault="008D504E" w:rsidP="00A3070B">
      <w:pPr>
        <w:spacing w:line="360" w:lineRule="auto"/>
        <w:ind w:firstLine="709"/>
        <w:jc w:val="both"/>
      </w:pPr>
      <w:r w:rsidRPr="008D504E">
        <w:t>За период с 2011 по 2020 гг. на энергоустановках, поднадзорных Ростехнадзору организаций, произошло 697 несчастных случаев со смертельным исходом, в том числе 27 групповых. За указанный промежуток времени зафиксирована гибель 714 человек (рисунок 1), в то время, как за аналогичный десятилетний период времени с 2001 по 2010 гг. погибло более 3000 человек, что свидетельствует о тенденции снижения общего количества несчастных случаев с летальным исходом на энергоустановках.</w:t>
      </w:r>
    </w:p>
    <w:p w14:paraId="0102DCB1" w14:textId="545A99AE" w:rsidR="008D504E" w:rsidRDefault="008D504E" w:rsidP="00345AE8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2C69DA0" wp14:editId="344A95E0">
            <wp:extent cx="4876318" cy="2001328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713" cy="205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A8484" w14:textId="45A7CEA2" w:rsidR="00345AE8" w:rsidRDefault="00345AE8" w:rsidP="00345AE8">
      <w:pPr>
        <w:spacing w:line="360" w:lineRule="auto"/>
        <w:jc w:val="center"/>
      </w:pPr>
      <w:r>
        <w:t xml:space="preserve">Рисунок 1 </w:t>
      </w:r>
      <w:r w:rsidR="00784366">
        <w:t>–</w:t>
      </w:r>
      <w:r>
        <w:t xml:space="preserve"> </w:t>
      </w:r>
      <w:r w:rsidR="008D504E" w:rsidRPr="008D504E">
        <w:t>Динамика пострадавших в несчастных случаях со смертельным исходом за период 2011-2020 гг.</w:t>
      </w:r>
    </w:p>
    <w:p w14:paraId="639C6923" w14:textId="07CFD4CD" w:rsidR="008D504E" w:rsidRDefault="008D504E" w:rsidP="008D504E">
      <w:pPr>
        <w:spacing w:line="360" w:lineRule="auto"/>
        <w:ind w:firstLine="709"/>
        <w:jc w:val="both"/>
      </w:pPr>
      <w:r w:rsidRPr="008D504E">
        <w:t xml:space="preserve">Наиболее травмоопасным периодом, с точки зрения возникновения несчастных случаев со смертельным исходом, за период с 2011 по 2020 гг. является диапазон из </w:t>
      </w:r>
      <w:r w:rsidR="00A67A03">
        <w:t>6</w:t>
      </w:r>
      <w:r w:rsidRPr="008D504E">
        <w:t xml:space="preserve"> месяцев, с </w:t>
      </w:r>
      <w:r w:rsidR="00A67A03">
        <w:t>мая по октябрь</w:t>
      </w:r>
      <w:r w:rsidRPr="008D504E">
        <w:t xml:space="preserve">, во время которых произошло </w:t>
      </w:r>
      <w:r w:rsidR="00A67A03">
        <w:t>75</w:t>
      </w:r>
      <w:r w:rsidRPr="008D504E">
        <w:t>% от общего числа несчастных случаев</w:t>
      </w:r>
      <w:r>
        <w:t xml:space="preserve"> (рисунок 2)</w:t>
      </w:r>
      <w:r w:rsidRPr="008D504E">
        <w:t>, что характеризуется большим количеством ремонтных работ на объектах, поднадзорных Ростехнадзору, в данные месяцы</w:t>
      </w:r>
      <w:r>
        <w:t>.</w:t>
      </w:r>
    </w:p>
    <w:p w14:paraId="38A7BA8E" w14:textId="7FB33FCD" w:rsidR="008D504E" w:rsidRPr="00A67A03" w:rsidRDefault="00425FC4" w:rsidP="00345AE8">
      <w:pPr>
        <w:spacing w:line="360" w:lineRule="auto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AA3856D" wp14:editId="4124B0C1">
            <wp:extent cx="4723765" cy="2419767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512" cy="243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2574F" w14:textId="6EA947D3" w:rsidR="008D504E" w:rsidRDefault="008D504E" w:rsidP="00171536">
      <w:pPr>
        <w:spacing w:line="360" w:lineRule="auto"/>
        <w:ind w:firstLine="709"/>
        <w:jc w:val="both"/>
      </w:pPr>
      <w:r>
        <w:t xml:space="preserve">Рисунок 2 – </w:t>
      </w:r>
      <w:r w:rsidRPr="008D504E">
        <w:t xml:space="preserve">Распределение </w:t>
      </w:r>
      <w:r w:rsidR="00A67A03">
        <w:t xml:space="preserve">среднего </w:t>
      </w:r>
      <w:r w:rsidRPr="008D504E">
        <w:t xml:space="preserve">количества пострадавших в несчастных случаях за период 2011-2020 гг. по </w:t>
      </w:r>
      <w:r>
        <w:t>месяцам</w:t>
      </w:r>
    </w:p>
    <w:p w14:paraId="5F3D4BE9" w14:textId="77777777" w:rsidR="008D504E" w:rsidRDefault="008D504E" w:rsidP="008D504E">
      <w:pPr>
        <w:spacing w:line="360" w:lineRule="auto"/>
        <w:ind w:firstLine="709"/>
        <w:jc w:val="both"/>
      </w:pPr>
      <w:r w:rsidRPr="008D504E">
        <w:lastRenderedPageBreak/>
        <w:t xml:space="preserve">Распределение количества пострадавших в несчастных случаях за период 2011-2020 гг. по дням недели, приведенное на рисунке </w:t>
      </w:r>
      <w:r>
        <w:t>3</w:t>
      </w:r>
      <w:r w:rsidRPr="008D504E">
        <w:t>, показывает, что в среднем в любой из будних дней недели происходит одинаковое количество несчастных случаев с летальным исходом.</w:t>
      </w:r>
    </w:p>
    <w:p w14:paraId="0E333724" w14:textId="77777777" w:rsidR="008D504E" w:rsidRPr="0004293E" w:rsidRDefault="008D504E" w:rsidP="008D504E">
      <w:pPr>
        <w:jc w:val="center"/>
        <w:rPr>
          <w:sz w:val="28"/>
          <w:szCs w:val="28"/>
        </w:rPr>
      </w:pPr>
      <w:r w:rsidRPr="0004293E">
        <w:rPr>
          <w:noProof/>
          <w:sz w:val="28"/>
          <w:szCs w:val="28"/>
        </w:rPr>
        <w:drawing>
          <wp:inline distT="0" distB="0" distL="0" distR="0" wp14:anchorId="2185C432" wp14:editId="37708E34">
            <wp:extent cx="3448050" cy="2510152"/>
            <wp:effectExtent l="0" t="0" r="0" b="508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69058" cy="2598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D723D0" w14:textId="05721129" w:rsidR="008D504E" w:rsidRPr="008D504E" w:rsidRDefault="008D504E" w:rsidP="008D504E">
      <w:pPr>
        <w:tabs>
          <w:tab w:val="left" w:pos="709"/>
        </w:tabs>
        <w:spacing w:line="360" w:lineRule="auto"/>
        <w:ind w:firstLine="142"/>
        <w:jc w:val="center"/>
      </w:pPr>
      <w:r w:rsidRPr="008D504E">
        <w:t>Рисунок 3 – Распределение количества пострадавших в несчастных случаях за период 2011-2020 гг. по дням недели</w:t>
      </w:r>
    </w:p>
    <w:p w14:paraId="24FE7359" w14:textId="6AFA9913" w:rsidR="00A60401" w:rsidRPr="00A60401" w:rsidRDefault="00A60401" w:rsidP="00A60401">
      <w:pPr>
        <w:spacing w:line="360" w:lineRule="auto"/>
        <w:ind w:firstLine="708"/>
        <w:jc w:val="both"/>
      </w:pPr>
      <w:r w:rsidRPr="00A60401">
        <w:t>В рамках анализа количеств</w:t>
      </w:r>
      <w:r>
        <w:t xml:space="preserve">а пострадавших в </w:t>
      </w:r>
      <w:r w:rsidRPr="00A60401">
        <w:t xml:space="preserve">несчастных случаях в зависимости от числа часов от начала работы (рисунок </w:t>
      </w:r>
      <w:r>
        <w:t>4</w:t>
      </w:r>
      <w:r w:rsidRPr="00A60401">
        <w:t>), установлена явная убывающая зависимость</w:t>
      </w:r>
      <w:r>
        <w:t xml:space="preserve"> </w:t>
      </w:r>
      <w:r w:rsidRPr="00A60401">
        <w:t>между количеством погибших и прошедшим временем с момента начала работы/смены. Также следует отметить, что в первый час с момента начала работы происходит 33% летальных исходов, а за первые 3 часа работы – 63%</w:t>
      </w:r>
      <w:r>
        <w:t xml:space="preserve">. </w:t>
      </w:r>
    </w:p>
    <w:p w14:paraId="509BD4EE" w14:textId="0739C128" w:rsidR="00A60401" w:rsidRPr="00A60401" w:rsidRDefault="00425FC4" w:rsidP="00A60401">
      <w:pPr>
        <w:jc w:val="center"/>
      </w:pPr>
      <w:r>
        <w:rPr>
          <w:noProof/>
        </w:rPr>
        <w:drawing>
          <wp:inline distT="0" distB="0" distL="0" distR="0" wp14:anchorId="4DB3D261" wp14:editId="1E726037">
            <wp:extent cx="3905250" cy="2791376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909" cy="281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6B60F" w14:textId="4BFE6FAB" w:rsidR="008D504E" w:rsidRPr="00A60401" w:rsidRDefault="00A60401" w:rsidP="00A60401">
      <w:pPr>
        <w:spacing w:line="360" w:lineRule="auto"/>
        <w:ind w:firstLine="709"/>
        <w:jc w:val="both"/>
        <w:rPr>
          <w:sz w:val="22"/>
          <w:szCs w:val="22"/>
        </w:rPr>
      </w:pPr>
      <w:r w:rsidRPr="00A60401">
        <w:t xml:space="preserve">Рисунок </w:t>
      </w:r>
      <w:r>
        <w:t>4</w:t>
      </w:r>
      <w:r w:rsidRPr="00A60401">
        <w:t xml:space="preserve"> – Распределение количества погибших в несчастных случаях за период 2011-2020 гг. по числу часов от начала работы</w:t>
      </w:r>
    </w:p>
    <w:p w14:paraId="5760D94C" w14:textId="77777777" w:rsidR="0065367B" w:rsidRPr="008D504E" w:rsidRDefault="008D504E" w:rsidP="0065367B">
      <w:pPr>
        <w:spacing w:line="360" w:lineRule="auto"/>
        <w:ind w:firstLine="709"/>
        <w:jc w:val="both"/>
      </w:pPr>
      <w:r w:rsidRPr="008D504E">
        <w:t xml:space="preserve">Распределение количества пострадавших в несчастных случаях с летальным исходом на рисунке </w:t>
      </w:r>
      <w:r w:rsidR="00A60401">
        <w:t>5</w:t>
      </w:r>
      <w:r w:rsidRPr="008D504E">
        <w:t xml:space="preserve"> показывает, что более 2/3 смертей происходит при осуществлении работ на оборудовании классом напряжения выше 1 </w:t>
      </w:r>
      <w:proofErr w:type="spellStart"/>
      <w:r w:rsidRPr="008D504E">
        <w:t>кВ</w:t>
      </w:r>
      <w:proofErr w:type="spellEnd"/>
      <w:r w:rsidRPr="008D504E">
        <w:t xml:space="preserve">, в том числе для диапазона 6-35 </w:t>
      </w:r>
      <w:proofErr w:type="spellStart"/>
      <w:r w:rsidRPr="008D504E">
        <w:t>кВ</w:t>
      </w:r>
      <w:proofErr w:type="spellEnd"/>
      <w:r w:rsidRPr="008D504E">
        <w:t xml:space="preserve"> – 63%, а для </w:t>
      </w:r>
      <w:r w:rsidRPr="008D504E">
        <w:lastRenderedPageBreak/>
        <w:t xml:space="preserve">110 </w:t>
      </w:r>
      <w:proofErr w:type="spellStart"/>
      <w:r w:rsidRPr="008D504E">
        <w:t>кВ</w:t>
      </w:r>
      <w:proofErr w:type="spellEnd"/>
      <w:r w:rsidRPr="008D504E">
        <w:t xml:space="preserve"> и выше – 3,8%. Необходимо отметить, что высокие показатели травматизма для объектов напряжением 6-35 </w:t>
      </w:r>
      <w:proofErr w:type="spellStart"/>
      <w:r w:rsidRPr="008D504E">
        <w:t>кВ</w:t>
      </w:r>
      <w:proofErr w:type="spellEnd"/>
      <w:r w:rsidRPr="008D504E">
        <w:t xml:space="preserve"> связаны с </w:t>
      </w:r>
      <w:proofErr w:type="gramStart"/>
      <w:r w:rsidR="0065367B">
        <w:t xml:space="preserve">большим </w:t>
      </w:r>
      <w:r w:rsidRPr="008D504E">
        <w:t xml:space="preserve"> количеством</w:t>
      </w:r>
      <w:proofErr w:type="gramEnd"/>
      <w:r w:rsidRPr="008D504E">
        <w:t xml:space="preserve"> </w:t>
      </w:r>
      <w:r w:rsidR="0065367B">
        <w:t xml:space="preserve">таких </w:t>
      </w:r>
      <w:r w:rsidRPr="008D504E">
        <w:t xml:space="preserve">объектов в электроэнергетике. </w:t>
      </w:r>
      <w:r w:rsidR="0065367B">
        <w:t>Д</w:t>
      </w:r>
      <w:r w:rsidR="0065367B" w:rsidRPr="008D504E">
        <w:t>остаточно низкий уровень</w:t>
      </w:r>
      <w:r w:rsidR="0065367B">
        <w:t xml:space="preserve"> смертельных несчастных случаев при эксплуатации и ремонте объектов</w:t>
      </w:r>
      <w:r w:rsidR="0065367B" w:rsidRPr="008D504E">
        <w:t xml:space="preserve"> класса напряжения 110 </w:t>
      </w:r>
      <w:proofErr w:type="spellStart"/>
      <w:r w:rsidR="0065367B" w:rsidRPr="008D504E">
        <w:t>кВ</w:t>
      </w:r>
      <w:proofErr w:type="spellEnd"/>
      <w:r w:rsidR="0065367B" w:rsidRPr="008D504E">
        <w:t xml:space="preserve"> и выше</w:t>
      </w:r>
      <w:r w:rsidR="0065367B">
        <w:t xml:space="preserve"> связан с высоким уровнем подготовки и информированности об опасностях персонала, проводящего такие работы.</w:t>
      </w:r>
    </w:p>
    <w:p w14:paraId="0A0F4D5F" w14:textId="2CB2ACC6" w:rsidR="008D504E" w:rsidRPr="008D504E" w:rsidRDefault="008D504E" w:rsidP="008D504E">
      <w:pPr>
        <w:spacing w:line="360" w:lineRule="auto"/>
        <w:ind w:firstLine="709"/>
        <w:jc w:val="both"/>
      </w:pPr>
    </w:p>
    <w:p w14:paraId="0817E8FE" w14:textId="77777777" w:rsidR="008D504E" w:rsidRPr="008D504E" w:rsidRDefault="008D504E" w:rsidP="008D504E">
      <w:pPr>
        <w:jc w:val="center"/>
      </w:pPr>
      <w:r w:rsidRPr="008D504E">
        <w:rPr>
          <w:noProof/>
        </w:rPr>
        <w:drawing>
          <wp:inline distT="0" distB="0" distL="0" distR="0" wp14:anchorId="0AE758F5" wp14:editId="3A3AF81E">
            <wp:extent cx="2958861" cy="1827094"/>
            <wp:effectExtent l="0" t="0" r="0" b="190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11023" cy="1859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520396" w14:textId="5BEA5CCF" w:rsidR="008D504E" w:rsidRDefault="008D504E" w:rsidP="008D504E">
      <w:pPr>
        <w:spacing w:line="360" w:lineRule="auto"/>
        <w:jc w:val="center"/>
      </w:pPr>
      <w:r w:rsidRPr="008D504E">
        <w:t xml:space="preserve">Рисунок </w:t>
      </w:r>
      <w:r w:rsidR="00A60401">
        <w:t>5</w:t>
      </w:r>
      <w:r w:rsidRPr="008D504E">
        <w:t xml:space="preserve"> – Круговая диаграммы с распределением количества пострадавших в несчастных случаях за период 2011-2020 гг. по группам по классу напряжения оборудования</w:t>
      </w:r>
    </w:p>
    <w:p w14:paraId="15A8D300" w14:textId="77777777" w:rsidR="008D504E" w:rsidRPr="008D504E" w:rsidRDefault="008D504E" w:rsidP="008D504E">
      <w:pPr>
        <w:spacing w:line="360" w:lineRule="auto"/>
        <w:jc w:val="center"/>
      </w:pPr>
    </w:p>
    <w:p w14:paraId="1131708B" w14:textId="7CA86FC3" w:rsidR="008D504E" w:rsidRPr="008D504E" w:rsidRDefault="008D504E" w:rsidP="008D504E">
      <w:pPr>
        <w:spacing w:line="360" w:lineRule="auto"/>
        <w:ind w:firstLine="709"/>
        <w:jc w:val="both"/>
      </w:pPr>
      <w:r w:rsidRPr="008D504E">
        <w:t xml:space="preserve">В результате анализа распределения количества пострадавших за период 2011-2020 гг. по виду оборудования, на котором произошел несчастный случай (рисунок </w:t>
      </w:r>
      <w:r w:rsidR="00A60401">
        <w:t>6</w:t>
      </w:r>
      <w:r w:rsidR="00885F5A">
        <w:t>)</w:t>
      </w:r>
      <w:r w:rsidRPr="008D504E">
        <w:t xml:space="preserve"> выявлено, что чаще всего летальный исход регистрируется при работе в распределительных устройствах свыше 1 </w:t>
      </w:r>
      <w:proofErr w:type="spellStart"/>
      <w:r w:rsidRPr="008D504E">
        <w:t>кВ</w:t>
      </w:r>
      <w:proofErr w:type="spellEnd"/>
      <w:r w:rsidRPr="008D504E">
        <w:t xml:space="preserve"> (35,2%) и на воздушных линиях электропередачи (28,3%). </w:t>
      </w:r>
    </w:p>
    <w:p w14:paraId="30B75040" w14:textId="77777777" w:rsidR="008D504E" w:rsidRPr="008D504E" w:rsidRDefault="008D504E" w:rsidP="008D504E">
      <w:pPr>
        <w:jc w:val="center"/>
      </w:pPr>
      <w:r w:rsidRPr="008D504E">
        <w:rPr>
          <w:noProof/>
        </w:rPr>
        <w:drawing>
          <wp:inline distT="0" distB="0" distL="0" distR="0" wp14:anchorId="549EC389" wp14:editId="56533BEF">
            <wp:extent cx="3510951" cy="211807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90540" cy="2166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7047A9" w14:textId="5A7E2B59" w:rsidR="003E2049" w:rsidRDefault="008D504E" w:rsidP="008D504E">
      <w:pPr>
        <w:spacing w:line="360" w:lineRule="auto"/>
        <w:jc w:val="center"/>
      </w:pPr>
      <w:r w:rsidRPr="008D504E">
        <w:t xml:space="preserve">Рисунок </w:t>
      </w:r>
      <w:r w:rsidR="00A60401">
        <w:t>6</w:t>
      </w:r>
      <w:r w:rsidRPr="008D504E">
        <w:t xml:space="preserve"> – Круговая диаграммы с распределением количества пострадавших в несчастных случаях за период 2011-2020 гг. по группам по виду оборудования</w:t>
      </w:r>
    </w:p>
    <w:p w14:paraId="165393C7" w14:textId="137BCC8E" w:rsidR="00885F5A" w:rsidRPr="00885F5A" w:rsidRDefault="00885F5A" w:rsidP="00885F5A">
      <w:pPr>
        <w:spacing w:line="360" w:lineRule="auto"/>
        <w:ind w:firstLine="709"/>
        <w:jc w:val="both"/>
      </w:pPr>
      <w:r w:rsidRPr="00885F5A">
        <w:t xml:space="preserve">Анализ данных по категориям </w:t>
      </w:r>
      <w:proofErr w:type="gramStart"/>
      <w:r w:rsidR="00CD42EB">
        <w:t>персонала ,</w:t>
      </w:r>
      <w:proofErr w:type="gramEnd"/>
      <w:r w:rsidR="00CD42EB">
        <w:t xml:space="preserve"> приведенный на рисунке 7а </w:t>
      </w:r>
      <w:r w:rsidRPr="00885F5A">
        <w:t xml:space="preserve">показывает, что количество летальных исходов электротехнического персонала (90,6%) более, чем в 9 раз превышает соответствующее значение для </w:t>
      </w:r>
      <w:proofErr w:type="spellStart"/>
      <w:r w:rsidRPr="00885F5A">
        <w:t>неэлектротехнического</w:t>
      </w:r>
      <w:proofErr w:type="spellEnd"/>
      <w:r w:rsidRPr="00885F5A">
        <w:t xml:space="preserve"> (9,4%). Причем более половины смертельных исходов приходится на работников ремонтного (54,7%) и более четверти – на работников оперативного-ремонтного персонала (27,1%). Наиболее </w:t>
      </w:r>
      <w:r w:rsidRPr="00885F5A">
        <w:lastRenderedPageBreak/>
        <w:t xml:space="preserve">показательным является распределением по профессиям, приведенное на рисунке </w:t>
      </w:r>
      <w:r w:rsidR="00A60401">
        <w:t>7</w:t>
      </w:r>
      <w:r>
        <w:t>б</w:t>
      </w:r>
      <w:r w:rsidRPr="00885F5A">
        <w:t xml:space="preserve">. Самым травмируемым работником в несчастных случаях с </w:t>
      </w:r>
      <w:r w:rsidRPr="00CD42EB">
        <w:t xml:space="preserve">летальным исходом за период 2011-2020 гг. является электромонтер (50,4%). Высокий процент среди пострадавших обусловлен </w:t>
      </w:r>
      <w:r w:rsidR="00CD42EB" w:rsidRPr="00CD42EB">
        <w:t xml:space="preserve">их </w:t>
      </w:r>
      <w:r w:rsidRPr="00CD42EB">
        <w:t xml:space="preserve">должностными обязанностями. Помимо электромонтера, высокие доли летальных исходов свойственны электрослесарям </w:t>
      </w:r>
      <w:r w:rsidRPr="00885F5A">
        <w:t>(14,7%), электромонтажникам (8,3%) и мастерам (7,9%).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5219"/>
      </w:tblGrid>
      <w:tr w:rsidR="00885F5A" w:rsidRPr="00885F5A" w14:paraId="13283CFF" w14:textId="77777777" w:rsidTr="00B61611">
        <w:tc>
          <w:tcPr>
            <w:tcW w:w="2424" w:type="pct"/>
          </w:tcPr>
          <w:p w14:paraId="1F58FFF4" w14:textId="77777777" w:rsidR="00885F5A" w:rsidRPr="00885F5A" w:rsidRDefault="00885F5A" w:rsidP="00885F5A">
            <w:pPr>
              <w:spacing w:line="360" w:lineRule="auto"/>
              <w:jc w:val="center"/>
            </w:pPr>
            <w:r w:rsidRPr="00885F5A">
              <w:rPr>
                <w:noProof/>
              </w:rPr>
              <w:drawing>
                <wp:inline distT="0" distB="0" distL="0" distR="0" wp14:anchorId="3520B090" wp14:editId="320794CA">
                  <wp:extent cx="2509355" cy="1937385"/>
                  <wp:effectExtent l="0" t="0" r="5715" b="571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17303" cy="1943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5FF222" w14:textId="77777777" w:rsidR="00885F5A" w:rsidRPr="00885F5A" w:rsidRDefault="00885F5A" w:rsidP="00885F5A">
            <w:pPr>
              <w:spacing w:line="360" w:lineRule="auto"/>
              <w:jc w:val="center"/>
            </w:pPr>
            <w:r w:rsidRPr="00885F5A">
              <w:t>а)</w:t>
            </w:r>
          </w:p>
        </w:tc>
        <w:tc>
          <w:tcPr>
            <w:tcW w:w="2576" w:type="pct"/>
          </w:tcPr>
          <w:p w14:paraId="5FD8C88F" w14:textId="77777777" w:rsidR="00885F5A" w:rsidRPr="00885F5A" w:rsidRDefault="00885F5A" w:rsidP="00885F5A">
            <w:pPr>
              <w:spacing w:line="360" w:lineRule="auto"/>
              <w:jc w:val="both"/>
            </w:pPr>
            <w:r w:rsidRPr="00885F5A">
              <w:rPr>
                <w:noProof/>
              </w:rPr>
              <w:drawing>
                <wp:inline distT="0" distB="0" distL="0" distR="0" wp14:anchorId="3C2C6836" wp14:editId="329EC630">
                  <wp:extent cx="2924355" cy="1937921"/>
                  <wp:effectExtent l="0" t="0" r="0" b="571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52091" cy="1956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92F75C" w14:textId="77777777" w:rsidR="00885F5A" w:rsidRPr="00885F5A" w:rsidRDefault="00885F5A" w:rsidP="00885F5A">
            <w:pPr>
              <w:spacing w:line="360" w:lineRule="auto"/>
              <w:jc w:val="center"/>
            </w:pPr>
            <w:r w:rsidRPr="00885F5A">
              <w:t>б)</w:t>
            </w:r>
          </w:p>
        </w:tc>
      </w:tr>
    </w:tbl>
    <w:p w14:paraId="09B8BB70" w14:textId="6211A7A4" w:rsidR="00885F5A" w:rsidRPr="00885F5A" w:rsidRDefault="00885F5A" w:rsidP="00885F5A">
      <w:pPr>
        <w:spacing w:line="360" w:lineRule="auto"/>
        <w:jc w:val="center"/>
      </w:pPr>
      <w:r w:rsidRPr="00885F5A">
        <w:t xml:space="preserve">Рисунок </w:t>
      </w:r>
      <w:r w:rsidR="00A60401">
        <w:t>7</w:t>
      </w:r>
      <w:r w:rsidRPr="00885F5A">
        <w:t xml:space="preserve"> – Круговые диаграммы с распределением количества пострадавших в несчастных случаях за период 2011-2020 гг. (а - по виду категории персонала, б – по профессиям) </w:t>
      </w:r>
    </w:p>
    <w:p w14:paraId="35A763A1" w14:textId="77777777" w:rsidR="00B61611" w:rsidRDefault="00B61611" w:rsidP="00885F5A">
      <w:pPr>
        <w:spacing w:line="360" w:lineRule="auto"/>
        <w:ind w:firstLine="709"/>
        <w:jc w:val="both"/>
      </w:pPr>
    </w:p>
    <w:p w14:paraId="0EFB5F07" w14:textId="6CCFD056" w:rsidR="00885F5A" w:rsidRPr="00B61611" w:rsidRDefault="00A67A03" w:rsidP="00885F5A">
      <w:pPr>
        <w:spacing w:line="360" w:lineRule="auto"/>
        <w:ind w:firstLine="709"/>
        <w:jc w:val="both"/>
      </w:pPr>
      <w:r w:rsidRPr="00B61611">
        <w:t>Анализ несчастных случаев со смертельным исходом за период 2011-2020 гг. по возрасту пострадавших выявил относительную равномерность распределения работников в диапазоне трудоспособного возраста.</w:t>
      </w:r>
      <w:r w:rsidR="00DA1CF9" w:rsidRPr="00B61611">
        <w:t xml:space="preserve"> При проведении аналогичного анализа для всех пострадавших по стажу (рисунок 8), выявлено, что </w:t>
      </w:r>
      <w:r w:rsidR="004960B8">
        <w:t>чаще всего погибают</w:t>
      </w:r>
      <w:r w:rsidR="00DA1CF9" w:rsidRPr="00B61611">
        <w:t xml:space="preserve"> работники со стажем до 5 лет, что может быть обосновано </w:t>
      </w:r>
      <w:r w:rsidR="004960B8">
        <w:t>недостаточным обучением правилам охраны труда при работе с электроустановками</w:t>
      </w:r>
      <w:r w:rsidR="00DA1CF9" w:rsidRPr="00B61611">
        <w:t xml:space="preserve"> </w:t>
      </w:r>
      <w:r w:rsidR="004960B8">
        <w:t>и недостаточными</w:t>
      </w:r>
      <w:r w:rsidR="00DA1CF9" w:rsidRPr="00B61611">
        <w:t xml:space="preserve"> навыками безопасного производства работ.</w:t>
      </w:r>
    </w:p>
    <w:p w14:paraId="38789E14" w14:textId="7899D195" w:rsidR="00DA1CF9" w:rsidRPr="00425FC4" w:rsidRDefault="00425FC4" w:rsidP="00DA1CF9">
      <w:pPr>
        <w:spacing w:line="360" w:lineRule="auto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400A35B8" wp14:editId="11B3CA0E">
            <wp:extent cx="3676650" cy="243218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894" cy="246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118E8" w14:textId="536A6FC5" w:rsidR="00DA1CF9" w:rsidRPr="00885F5A" w:rsidRDefault="00DA1CF9" w:rsidP="00DA1CF9">
      <w:pPr>
        <w:spacing w:line="360" w:lineRule="auto"/>
        <w:jc w:val="center"/>
      </w:pPr>
      <w:r w:rsidRPr="00B61611">
        <w:t xml:space="preserve">Рисунок 8 – </w:t>
      </w:r>
      <w:r w:rsidRPr="00885F5A">
        <w:t xml:space="preserve">Распределение количества пострадавших в несчастных случаях за период 2011-2020 гг. по </w:t>
      </w:r>
      <w:r>
        <w:t>стажу</w:t>
      </w:r>
    </w:p>
    <w:p w14:paraId="2318DF2B" w14:textId="4F704142" w:rsidR="00885F5A" w:rsidRDefault="00885F5A" w:rsidP="00885F5A">
      <w:pPr>
        <w:spacing w:line="360" w:lineRule="auto"/>
        <w:ind w:firstLine="708"/>
        <w:jc w:val="both"/>
      </w:pPr>
      <w:r w:rsidRPr="00885F5A">
        <w:lastRenderedPageBreak/>
        <w:t xml:space="preserve">В рамках анализа статистических данных выявлено, что распределение количества пострадавших в несчастных случаях за период 2011-2020 гг. по времени, прошедшему с момента проверки знаний по охране труда по месяцам, приведенное на рисунке </w:t>
      </w:r>
      <w:r w:rsidR="00DA1CF9" w:rsidRPr="00DA1CF9">
        <w:t>9</w:t>
      </w:r>
      <w:r w:rsidRPr="00885F5A">
        <w:t xml:space="preserve">, обладает </w:t>
      </w:r>
      <w:r>
        <w:t>характерными пиками</w:t>
      </w:r>
      <w:r w:rsidR="00CD42EB">
        <w:t xml:space="preserve">, приходящимися на </w:t>
      </w:r>
      <w:r w:rsidRPr="00885F5A">
        <w:t xml:space="preserve">диапазоны 1-3 месяца и 11-12 </w:t>
      </w:r>
      <w:proofErr w:type="gramStart"/>
      <w:r w:rsidRPr="00885F5A">
        <w:t>месяцев</w:t>
      </w:r>
      <w:proofErr w:type="gramEnd"/>
      <w:r w:rsidRPr="00885F5A">
        <w:t xml:space="preserve"> прошедш</w:t>
      </w:r>
      <w:r>
        <w:t>их</w:t>
      </w:r>
      <w:r w:rsidRPr="00885F5A">
        <w:t xml:space="preserve"> с момента проверки знаний по охране труда.</w:t>
      </w:r>
    </w:p>
    <w:p w14:paraId="116DBB60" w14:textId="75FA8C8F" w:rsidR="00885F5A" w:rsidRPr="00885F5A" w:rsidRDefault="00425FC4" w:rsidP="00885F5A">
      <w:pPr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7EF32DA" wp14:editId="72692E43">
            <wp:extent cx="5151755" cy="2981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85"/>
                    <a:stretch/>
                  </pic:blipFill>
                  <pic:spPr bwMode="auto">
                    <a:xfrm>
                      <a:off x="0" y="0"/>
                      <a:ext cx="5175341" cy="2994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BA153C" w14:textId="7EFE4AD2" w:rsidR="00885F5A" w:rsidRPr="00885F5A" w:rsidRDefault="00885F5A" w:rsidP="00885F5A">
      <w:pPr>
        <w:spacing w:line="360" w:lineRule="auto"/>
        <w:jc w:val="center"/>
      </w:pPr>
      <w:r w:rsidRPr="00885F5A">
        <w:t xml:space="preserve">Рисунок </w:t>
      </w:r>
      <w:r w:rsidR="00DA1CF9" w:rsidRPr="00DA1CF9">
        <w:t>9</w:t>
      </w:r>
      <w:r w:rsidRPr="00885F5A">
        <w:t xml:space="preserve"> – Распределение количества пострадавших в несчастных случаях за период 2011-2020 гг. по времени, прошедшему с момента проверки знаний по охране труда по месяцам</w:t>
      </w:r>
    </w:p>
    <w:p w14:paraId="18CC094B" w14:textId="77777777" w:rsidR="00885F5A" w:rsidRDefault="00885F5A" w:rsidP="00885F5A">
      <w:pPr>
        <w:spacing w:line="360" w:lineRule="auto"/>
        <w:ind w:firstLine="708"/>
        <w:jc w:val="both"/>
      </w:pPr>
    </w:p>
    <w:p w14:paraId="5ECC3D66" w14:textId="4EDAF670" w:rsidR="00885F5A" w:rsidRDefault="00885F5A" w:rsidP="00885F5A">
      <w:pPr>
        <w:spacing w:line="360" w:lineRule="auto"/>
        <w:ind w:firstLine="708"/>
        <w:jc w:val="both"/>
      </w:pPr>
      <w:r w:rsidRPr="00885F5A">
        <w:t xml:space="preserve"> Каждый из </w:t>
      </w:r>
      <w:r w:rsidRPr="00CD42EB">
        <w:t>рассматриваемых диапазонов соответствует максимальным долям пострадавших в несчастных случаях, в первом случаев для 1-3 месяцев – 31,1%, что потенциально связано с н</w:t>
      </w:r>
      <w:r w:rsidR="00CD42EB" w:rsidRPr="00CD42EB">
        <w:t>изким уровнем остаточных знаний и недостаточным качеством обучения.</w:t>
      </w:r>
      <w:r w:rsidRPr="00CD42EB">
        <w:t xml:space="preserve">  Для 11-12 месяцев процент пострадавших составляет 18%, что характеризуется также низким уровнем остаточных знаний, но уже вследствие </w:t>
      </w:r>
      <w:r w:rsidR="00CD42EB" w:rsidRPr="00CD42EB">
        <w:t>длительного</w:t>
      </w:r>
      <w:r w:rsidRPr="00CD42EB">
        <w:t xml:space="preserve"> периода с момента обучения. </w:t>
      </w:r>
      <w:r w:rsidR="00CD42EB">
        <w:t>В</w:t>
      </w:r>
      <w:r w:rsidRPr="00CD42EB">
        <w:t xml:space="preserve"> 11,8% несчастных случаях с летальным исходом, проверка знаний по охране труда не была проведена</w:t>
      </w:r>
      <w:r w:rsidRPr="00885F5A">
        <w:t>, что является нарушением п.2.3 ПОТЭУ</w:t>
      </w:r>
      <w:r>
        <w:t>.</w:t>
      </w:r>
    </w:p>
    <w:p w14:paraId="110DAA24" w14:textId="5444E9D7" w:rsidR="00C342D6" w:rsidRDefault="00C342D6" w:rsidP="00885F5A">
      <w:pPr>
        <w:spacing w:line="360" w:lineRule="auto"/>
        <w:ind w:firstLine="708"/>
        <w:jc w:val="both"/>
      </w:pPr>
    </w:p>
    <w:p w14:paraId="0B4D5E11" w14:textId="77777777" w:rsidR="00C342D6" w:rsidRPr="00EC5210" w:rsidRDefault="00C342D6" w:rsidP="00C342D6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b/>
        </w:rPr>
      </w:pPr>
      <w:r w:rsidRPr="00EC5210">
        <w:rPr>
          <w:b/>
        </w:rPr>
        <w:t>Анализ причин несчастных случаев со смертельным исходом на объектах</w:t>
      </w:r>
      <w:r>
        <w:rPr>
          <w:b/>
        </w:rPr>
        <w:t>,</w:t>
      </w:r>
      <w:r w:rsidRPr="00EC5210">
        <w:rPr>
          <w:b/>
        </w:rPr>
        <w:t xml:space="preserve"> поднадзорных </w:t>
      </w:r>
      <w:r>
        <w:rPr>
          <w:b/>
        </w:rPr>
        <w:t>Р</w:t>
      </w:r>
      <w:r w:rsidRPr="00EC5210">
        <w:rPr>
          <w:b/>
        </w:rPr>
        <w:t>остехнадзору</w:t>
      </w:r>
    </w:p>
    <w:p w14:paraId="537F28B1" w14:textId="018960CB" w:rsidR="00250444" w:rsidRDefault="00885F5A" w:rsidP="00C342D6">
      <w:pPr>
        <w:spacing w:line="360" w:lineRule="auto"/>
        <w:ind w:firstLine="709"/>
        <w:jc w:val="both"/>
        <w:rPr>
          <w:bCs/>
        </w:rPr>
      </w:pPr>
      <w:r w:rsidRPr="00885F5A">
        <w:rPr>
          <w:bCs/>
        </w:rPr>
        <w:t>Распределение причин</w:t>
      </w:r>
      <w:r w:rsidR="00250444">
        <w:rPr>
          <w:bCs/>
        </w:rPr>
        <w:t xml:space="preserve"> </w:t>
      </w:r>
      <w:r w:rsidR="00250444" w:rsidRPr="00250444">
        <w:rPr>
          <w:bCs/>
        </w:rPr>
        <w:t>несчастных случаев с летальным исходом</w:t>
      </w:r>
      <w:r w:rsidR="00250444">
        <w:rPr>
          <w:bCs/>
        </w:rPr>
        <w:t xml:space="preserve"> </w:t>
      </w:r>
      <w:r w:rsidR="00250444" w:rsidRPr="00250444">
        <w:rPr>
          <w:bCs/>
        </w:rPr>
        <w:t>за период 2011-2020 гг.</w:t>
      </w:r>
      <w:r w:rsidR="00C342D6">
        <w:rPr>
          <w:bCs/>
        </w:rPr>
        <w:t>,</w:t>
      </w:r>
      <w:r w:rsidR="00250444" w:rsidRPr="00250444">
        <w:rPr>
          <w:bCs/>
        </w:rPr>
        <w:t xml:space="preserve"> систематизирован</w:t>
      </w:r>
      <w:r w:rsidR="00C342D6">
        <w:rPr>
          <w:bCs/>
        </w:rPr>
        <w:t>ное</w:t>
      </w:r>
      <w:r w:rsidR="00250444" w:rsidRPr="00250444">
        <w:rPr>
          <w:bCs/>
        </w:rPr>
        <w:t xml:space="preserve"> </w:t>
      </w:r>
      <w:r w:rsidR="00C342D6" w:rsidRPr="00C342D6">
        <w:rPr>
          <w:bCs/>
        </w:rPr>
        <w:t>по обобщенным группам</w:t>
      </w:r>
      <w:r w:rsidR="00C342D6">
        <w:rPr>
          <w:bCs/>
        </w:rPr>
        <w:t>,</w:t>
      </w:r>
      <w:r w:rsidRPr="00885F5A">
        <w:rPr>
          <w:bCs/>
        </w:rPr>
        <w:t xml:space="preserve"> которое приве</w:t>
      </w:r>
      <w:r w:rsidR="00C342D6">
        <w:rPr>
          <w:bCs/>
        </w:rPr>
        <w:t xml:space="preserve">дено на рисунке </w:t>
      </w:r>
      <w:r w:rsidR="00DA1CF9" w:rsidRPr="00DA1CF9">
        <w:rPr>
          <w:bCs/>
        </w:rPr>
        <w:t>10</w:t>
      </w:r>
      <w:r w:rsidR="00C342D6">
        <w:rPr>
          <w:bCs/>
        </w:rPr>
        <w:t xml:space="preserve"> показывает</w:t>
      </w:r>
      <w:r w:rsidRPr="00885F5A">
        <w:rPr>
          <w:bCs/>
        </w:rPr>
        <w:t xml:space="preserve"> превалирование организационных причин в общей структуре несчастных случаев, на долю которых приходится 74,4%. </w:t>
      </w:r>
    </w:p>
    <w:p w14:paraId="3B3AF521" w14:textId="77777777" w:rsidR="00250444" w:rsidRPr="00885F5A" w:rsidRDefault="00250444" w:rsidP="00250444">
      <w:pPr>
        <w:spacing w:line="360" w:lineRule="auto"/>
        <w:jc w:val="center"/>
        <w:rPr>
          <w:bCs/>
        </w:rPr>
      </w:pPr>
      <w:r w:rsidRPr="00885F5A">
        <w:rPr>
          <w:b/>
          <w:bCs/>
          <w:noProof/>
        </w:rPr>
        <w:lastRenderedPageBreak/>
        <w:drawing>
          <wp:inline distT="0" distB="0" distL="0" distR="0" wp14:anchorId="653ED1B9" wp14:editId="36009D92">
            <wp:extent cx="2867025" cy="1977321"/>
            <wp:effectExtent l="0" t="0" r="0" b="444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13605" cy="2009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DABAD8" w14:textId="6395B9CF" w:rsidR="00250444" w:rsidRDefault="00250444" w:rsidP="00250444">
      <w:pPr>
        <w:spacing w:line="360" w:lineRule="auto"/>
        <w:ind w:firstLine="708"/>
        <w:jc w:val="both"/>
      </w:pPr>
      <w:r w:rsidRPr="00885F5A">
        <w:rPr>
          <w:bCs/>
        </w:rPr>
        <w:t xml:space="preserve">Рисунок </w:t>
      </w:r>
      <w:r w:rsidR="00DA1CF9" w:rsidRPr="00DA1CF9">
        <w:rPr>
          <w:bCs/>
        </w:rPr>
        <w:t>10</w:t>
      </w:r>
      <w:r w:rsidRPr="00885F5A">
        <w:rPr>
          <w:bCs/>
        </w:rPr>
        <w:t xml:space="preserve"> – Круговая диаграмма </w:t>
      </w:r>
      <w:r w:rsidRPr="00885F5A">
        <w:t>с распределением количества пострадавших за период 2011-2020 гг. по причинам возникновения несчастных случаев по обобщенным группам</w:t>
      </w:r>
    </w:p>
    <w:p w14:paraId="50E68120" w14:textId="77777777" w:rsidR="00C342D6" w:rsidRPr="00885F5A" w:rsidRDefault="00C342D6" w:rsidP="00250444">
      <w:pPr>
        <w:spacing w:line="360" w:lineRule="auto"/>
        <w:ind w:firstLine="708"/>
        <w:jc w:val="both"/>
      </w:pPr>
    </w:p>
    <w:p w14:paraId="44BE360B" w14:textId="3E232671" w:rsidR="00885F5A" w:rsidRPr="00885F5A" w:rsidRDefault="00885F5A" w:rsidP="00885F5A">
      <w:pPr>
        <w:spacing w:line="360" w:lineRule="auto"/>
        <w:ind w:firstLine="709"/>
        <w:jc w:val="both"/>
        <w:rPr>
          <w:bCs/>
        </w:rPr>
      </w:pPr>
      <w:r w:rsidRPr="00885F5A">
        <w:rPr>
          <w:bCs/>
        </w:rPr>
        <w:t>Необходимо отметить, что при рассмотрении долей причин по стандартной классификации</w:t>
      </w:r>
      <w:r w:rsidR="00250444">
        <w:rPr>
          <w:bCs/>
        </w:rPr>
        <w:t xml:space="preserve"> учета и анализа травматизма (рисунок </w:t>
      </w:r>
      <w:r w:rsidR="00A60401">
        <w:rPr>
          <w:bCs/>
        </w:rPr>
        <w:t>1</w:t>
      </w:r>
      <w:r w:rsidR="00DA1CF9" w:rsidRPr="00DA1CF9">
        <w:rPr>
          <w:bCs/>
        </w:rPr>
        <w:t>1</w:t>
      </w:r>
      <w:r w:rsidR="00250444">
        <w:rPr>
          <w:bCs/>
        </w:rPr>
        <w:t>)</w:t>
      </w:r>
      <w:r w:rsidRPr="00885F5A">
        <w:rPr>
          <w:bCs/>
        </w:rPr>
        <w:t xml:space="preserve">, наибольшие проценты соответствуют причинам с кодами «9» – неудовлетворительная организация производства работ (31,4%) и «6» – нарушение технологического процесса (30,6%), которые входят в обобщенную группу организационных причин. Подобная ситуация наблюдается и для психофизиологических причин, в группу которых входит причина с кодом «14» – нарушение работником трудового распорядка и дисциплины труда, составляющую 14,9% от всех причин несчастных случаев. </w:t>
      </w:r>
    </w:p>
    <w:p w14:paraId="502C2554" w14:textId="77777777" w:rsidR="00885F5A" w:rsidRPr="00885F5A" w:rsidRDefault="00885F5A" w:rsidP="00885F5A">
      <w:pPr>
        <w:spacing w:line="360" w:lineRule="auto"/>
        <w:jc w:val="center"/>
        <w:rPr>
          <w:b/>
          <w:bCs/>
          <w:lang w:val="en-US"/>
        </w:rPr>
      </w:pPr>
      <w:r w:rsidRPr="00885F5A">
        <w:rPr>
          <w:b/>
          <w:bCs/>
          <w:noProof/>
        </w:rPr>
        <w:drawing>
          <wp:inline distT="0" distB="0" distL="0" distR="0" wp14:anchorId="74A8E196" wp14:editId="0DE33646">
            <wp:extent cx="2752725" cy="2092704"/>
            <wp:effectExtent l="0" t="0" r="0" b="317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0117" cy="2151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A0DF7B" w14:textId="77777777" w:rsidR="00885F5A" w:rsidRPr="00885F5A" w:rsidRDefault="00885F5A" w:rsidP="00885F5A">
      <w:pPr>
        <w:spacing w:line="360" w:lineRule="auto"/>
        <w:jc w:val="center"/>
        <w:rPr>
          <w:b/>
          <w:bCs/>
          <w:lang w:val="en-US"/>
        </w:rPr>
      </w:pPr>
      <w:r w:rsidRPr="00885F5A">
        <w:rPr>
          <w:noProof/>
        </w:rPr>
        <w:drawing>
          <wp:inline distT="0" distB="0" distL="0" distR="0" wp14:anchorId="60A5DBCB" wp14:editId="55EDD5B5">
            <wp:extent cx="5734685" cy="1257141"/>
            <wp:effectExtent l="0" t="0" r="0" b="63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53900" cy="128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A54F6" w14:textId="774C1204" w:rsidR="00885F5A" w:rsidRPr="00885F5A" w:rsidRDefault="00885F5A" w:rsidP="00885F5A">
      <w:pPr>
        <w:spacing w:line="336" w:lineRule="auto"/>
        <w:jc w:val="center"/>
      </w:pPr>
      <w:r w:rsidRPr="00885F5A">
        <w:rPr>
          <w:bCs/>
        </w:rPr>
        <w:t xml:space="preserve">Рисунок </w:t>
      </w:r>
      <w:r w:rsidR="00A60401">
        <w:rPr>
          <w:bCs/>
        </w:rPr>
        <w:t>1</w:t>
      </w:r>
      <w:r w:rsidR="00DA1CF9" w:rsidRPr="00DA1CF9">
        <w:rPr>
          <w:bCs/>
        </w:rPr>
        <w:t>1</w:t>
      </w:r>
      <w:r w:rsidRPr="00885F5A">
        <w:rPr>
          <w:bCs/>
        </w:rPr>
        <w:t xml:space="preserve"> – Круговые диаграммы </w:t>
      </w:r>
      <w:r w:rsidRPr="00885F5A">
        <w:t>с распределением количества пострадавших за период 2011-2020 гг. по причинам возникновения несчастных случаев по стандартной классификации</w:t>
      </w:r>
    </w:p>
    <w:p w14:paraId="478A550E" w14:textId="77777777" w:rsidR="00885F5A" w:rsidRPr="00885F5A" w:rsidRDefault="00885F5A" w:rsidP="00885F5A">
      <w:pPr>
        <w:spacing w:line="336" w:lineRule="auto"/>
        <w:jc w:val="center"/>
      </w:pPr>
    </w:p>
    <w:p w14:paraId="47D8F7AA" w14:textId="36DC09AD" w:rsidR="00C616B5" w:rsidRPr="00C616B5" w:rsidRDefault="00C616B5" w:rsidP="00C616B5">
      <w:pPr>
        <w:spacing w:line="360" w:lineRule="auto"/>
        <w:ind w:firstLine="709"/>
        <w:jc w:val="both"/>
      </w:pPr>
      <w:r w:rsidRPr="00C616B5">
        <w:rPr>
          <w:bCs/>
        </w:rPr>
        <w:lastRenderedPageBreak/>
        <w:t xml:space="preserve">Распределение пострадавших </w:t>
      </w:r>
      <w:r w:rsidRPr="00C616B5">
        <w:t>по причинам возникновения несчастных случаев в разрезе классов условий труда, установленных по результатам специальной оценки условий труда, представлено в виде круговых диаграмм на рисунке 1</w:t>
      </w:r>
      <w:r w:rsidR="00DA1CF9" w:rsidRPr="00DA1CF9">
        <w:t>2</w:t>
      </w:r>
      <w:r w:rsidRPr="00C616B5">
        <w:t>. Анализ статистических данных осуществлен для рабочих мест трех групп: с допустимыми условиями труда (класс 2), с вредными условиями труда (класс 3.1-3.4), с отсутствующим классом труда (СОУТ не проведена).</w:t>
      </w:r>
    </w:p>
    <w:p w14:paraId="12E65071" w14:textId="77777777" w:rsidR="00C616B5" w:rsidRPr="00C616B5" w:rsidRDefault="00C616B5" w:rsidP="00C616B5">
      <w:pPr>
        <w:spacing w:line="360" w:lineRule="auto"/>
        <w:jc w:val="center"/>
      </w:pPr>
      <w:r w:rsidRPr="00C616B5">
        <w:rPr>
          <w:noProof/>
        </w:rPr>
        <w:drawing>
          <wp:inline distT="0" distB="0" distL="0" distR="0" wp14:anchorId="6E9E6B21" wp14:editId="1169C590">
            <wp:extent cx="5753137" cy="5460521"/>
            <wp:effectExtent l="0" t="0" r="0" b="698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408" cy="550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6DEA1" w14:textId="7AA1AEDE" w:rsidR="003D1886" w:rsidRPr="00C616B5" w:rsidRDefault="00C616B5" w:rsidP="00C616B5">
      <w:pPr>
        <w:spacing w:line="360" w:lineRule="auto"/>
        <w:jc w:val="center"/>
        <w:rPr>
          <w:sz w:val="22"/>
          <w:szCs w:val="22"/>
        </w:rPr>
      </w:pPr>
      <w:r w:rsidRPr="00C616B5">
        <w:t xml:space="preserve">Рисунок </w:t>
      </w:r>
      <w:r w:rsidR="00A60401">
        <w:t>1</w:t>
      </w:r>
      <w:r w:rsidR="00DA1CF9" w:rsidRPr="00DA1CF9">
        <w:t>2</w:t>
      </w:r>
      <w:r w:rsidRPr="00C616B5">
        <w:t xml:space="preserve"> </w:t>
      </w:r>
      <w:r w:rsidRPr="00C616B5">
        <w:rPr>
          <w:bCs/>
        </w:rPr>
        <w:t xml:space="preserve">– Круговые диаграммы </w:t>
      </w:r>
      <w:r w:rsidRPr="00C616B5">
        <w:t>с распределением количества пострадавших за период 201</w:t>
      </w:r>
      <w:r w:rsidR="00CD4DE0">
        <w:t>4</w:t>
      </w:r>
      <w:r w:rsidRPr="00C616B5">
        <w:t>-2020 гг. по причинам возникновения несчастных случаев в разрезе классов условий труда</w:t>
      </w:r>
    </w:p>
    <w:p w14:paraId="3133D59D" w14:textId="6B54402B" w:rsidR="00C616B5" w:rsidRDefault="00C616B5" w:rsidP="00C616B5">
      <w:pPr>
        <w:spacing w:line="360" w:lineRule="auto"/>
        <w:ind w:firstLine="709"/>
        <w:jc w:val="both"/>
      </w:pPr>
    </w:p>
    <w:p w14:paraId="0A9CD218" w14:textId="77777777" w:rsidR="00DA1CF9" w:rsidRPr="00C616B5" w:rsidRDefault="00DA1CF9" w:rsidP="00DA1CF9">
      <w:pPr>
        <w:spacing w:line="360" w:lineRule="auto"/>
        <w:ind w:firstLine="709"/>
        <w:jc w:val="both"/>
      </w:pPr>
      <w:r w:rsidRPr="00C616B5">
        <w:t xml:space="preserve">При сравнении причин несчастных случаев со смертельным исходом с допустимым и вредным классом УТ установлено, что работники, у которых не были идентифицированы вредные и опасные факторы в рамках СОУТ, в 1,5 раза чаще нарушают требования об использовании средств индивидуальной защиты. Соответственно, доля пострадавших с 2 </w:t>
      </w:r>
      <w:r w:rsidRPr="00C616B5">
        <w:lastRenderedPageBreak/>
        <w:t>классом условий труда составляет 14,1%, а с классами условий труда 3.1-3.4 – 8,4%. Остальные причины несчастных случаев для рассматриваемых групп практически не отличаются.</w:t>
      </w:r>
    </w:p>
    <w:p w14:paraId="3D34A3E8" w14:textId="77777777" w:rsidR="00DA1CF9" w:rsidRPr="00C616B5" w:rsidRDefault="00DA1CF9" w:rsidP="00DA1CF9">
      <w:pPr>
        <w:spacing w:line="360" w:lineRule="auto"/>
        <w:ind w:firstLine="709"/>
        <w:jc w:val="both"/>
      </w:pPr>
      <w:r w:rsidRPr="00C616B5">
        <w:t xml:space="preserve">В рамках сравнительного анализа причин несчастных случаев выявлено, на местах, где не была проведена СОУТ, отсутствие инструктажа по охране труда и не проведение обучения и проверки знаний по охране труда наблюдалось примерно в 2,5 раза чаще, чем на местах с установленными классами условий труда. </w:t>
      </w:r>
      <w:r w:rsidRPr="00CD4DE0">
        <w:t xml:space="preserve">Данная ситуация позволяют рассматривать наличие результатов СОУТ, как дополнительный индикатор качества организации системы управления охраной труда на предприятии. </w:t>
      </w:r>
    </w:p>
    <w:p w14:paraId="1A2EA5D6" w14:textId="77777777" w:rsidR="00DA1CF9" w:rsidRDefault="00DA1CF9" w:rsidP="00C616B5">
      <w:pPr>
        <w:spacing w:line="360" w:lineRule="auto"/>
        <w:ind w:firstLine="709"/>
        <w:jc w:val="both"/>
      </w:pPr>
    </w:p>
    <w:p w14:paraId="160CE49F" w14:textId="15E75F85" w:rsidR="00C616B5" w:rsidRPr="00EC5210" w:rsidRDefault="00C616B5" w:rsidP="00C616B5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b/>
        </w:rPr>
      </w:pPr>
      <w:r w:rsidRPr="00EC5210">
        <w:rPr>
          <w:b/>
        </w:rPr>
        <w:t xml:space="preserve">Анализ </w:t>
      </w:r>
      <w:r w:rsidRPr="00C616B5">
        <w:rPr>
          <w:b/>
        </w:rPr>
        <w:t>статистических данных по нарушениям разделов ПОТЭУ, приведшим к несчастным случаям с летальным исходом</w:t>
      </w:r>
      <w:r w:rsidRPr="00EC5210">
        <w:rPr>
          <w:b/>
        </w:rPr>
        <w:t xml:space="preserve"> на объектах</w:t>
      </w:r>
      <w:r>
        <w:rPr>
          <w:b/>
        </w:rPr>
        <w:t>,</w:t>
      </w:r>
      <w:r w:rsidRPr="00EC5210">
        <w:rPr>
          <w:b/>
        </w:rPr>
        <w:t xml:space="preserve"> поднадзорных </w:t>
      </w:r>
      <w:r>
        <w:rPr>
          <w:b/>
        </w:rPr>
        <w:t>Р</w:t>
      </w:r>
      <w:r w:rsidRPr="00EC5210">
        <w:rPr>
          <w:b/>
        </w:rPr>
        <w:t>остехнадзору</w:t>
      </w:r>
    </w:p>
    <w:p w14:paraId="5A30DCBE" w14:textId="14A51620" w:rsidR="00C616B5" w:rsidRDefault="003D1886" w:rsidP="00C616B5">
      <w:pPr>
        <w:spacing w:line="360" w:lineRule="auto"/>
        <w:ind w:firstLine="709"/>
        <w:jc w:val="both"/>
      </w:pPr>
      <w:r w:rsidRPr="00C616B5">
        <w:rPr>
          <w:sz w:val="22"/>
          <w:szCs w:val="22"/>
        </w:rPr>
        <w:t xml:space="preserve"> </w:t>
      </w:r>
      <w:r w:rsidR="00C616B5" w:rsidRPr="00C616B5">
        <w:t>На рисунке 1</w:t>
      </w:r>
      <w:r w:rsidR="00DA1CF9" w:rsidRPr="00DA1CF9">
        <w:t>3</w:t>
      </w:r>
      <w:r w:rsidR="00C616B5" w:rsidRPr="00C616B5">
        <w:t xml:space="preserve"> </w:t>
      </w:r>
      <w:r w:rsidR="00C616B5" w:rsidRPr="00C616B5">
        <w:rPr>
          <w:spacing w:val="2"/>
          <w:shd w:val="clear" w:color="auto" w:fill="FFFFFF"/>
        </w:rPr>
        <w:t xml:space="preserve">приведена круговая диаграмма, отражающая распределение количества пострадавших </w:t>
      </w:r>
      <w:r w:rsidR="00C616B5" w:rsidRPr="00C616B5">
        <w:t xml:space="preserve">по виду допускающего документа, </w:t>
      </w:r>
      <w:r w:rsidR="00CD4DE0">
        <w:t>который был нарушен при</w:t>
      </w:r>
      <w:r w:rsidR="00C616B5" w:rsidRPr="00C616B5">
        <w:t xml:space="preserve"> несчастн</w:t>
      </w:r>
      <w:r w:rsidR="00CD4DE0">
        <w:t>ом</w:t>
      </w:r>
      <w:r w:rsidR="00C616B5" w:rsidRPr="00C616B5">
        <w:t xml:space="preserve"> случа</w:t>
      </w:r>
      <w:r w:rsidR="00CD4DE0">
        <w:t>е</w:t>
      </w:r>
      <w:r w:rsidR="00C616B5" w:rsidRPr="00C616B5">
        <w:t xml:space="preserve">. Наибольшую долю из всех рассматриваемых документов имеет наряд-допуск (44,6%), что </w:t>
      </w:r>
      <w:r w:rsidR="00CD4DE0">
        <w:t>может быть связано с</w:t>
      </w:r>
      <w:r w:rsidR="00C616B5" w:rsidRPr="00C616B5">
        <w:t xml:space="preserve"> большим количеством возможных операций, при которых оформляется данный документ, по сравнению с распоряжениями и перечнем работ текущей эксплуатации, в соответствии с п.6-7 ПОТЭУ. </w:t>
      </w:r>
    </w:p>
    <w:p w14:paraId="06943702" w14:textId="77777777" w:rsidR="00C616B5" w:rsidRPr="00C616B5" w:rsidRDefault="00C616B5" w:rsidP="00C616B5">
      <w:pPr>
        <w:spacing w:line="360" w:lineRule="auto"/>
        <w:ind w:firstLine="709"/>
        <w:jc w:val="both"/>
      </w:pPr>
    </w:p>
    <w:p w14:paraId="1F9153B2" w14:textId="77777777" w:rsidR="00C616B5" w:rsidRPr="0004293E" w:rsidRDefault="00C616B5" w:rsidP="00C616B5">
      <w:pPr>
        <w:jc w:val="center"/>
        <w:rPr>
          <w:sz w:val="28"/>
          <w:szCs w:val="28"/>
        </w:rPr>
      </w:pPr>
      <w:r w:rsidRPr="0004293E">
        <w:rPr>
          <w:noProof/>
          <w:sz w:val="28"/>
          <w:szCs w:val="28"/>
        </w:rPr>
        <w:drawing>
          <wp:inline distT="0" distB="0" distL="0" distR="0" wp14:anchorId="37401B98" wp14:editId="37CFAE0F">
            <wp:extent cx="2769079" cy="189454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3109" cy="1958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449202" w14:textId="77777777" w:rsidR="00C616B5" w:rsidRPr="0004293E" w:rsidRDefault="00C616B5" w:rsidP="00C616B5">
      <w:pPr>
        <w:jc w:val="center"/>
        <w:rPr>
          <w:sz w:val="28"/>
          <w:szCs w:val="28"/>
        </w:rPr>
      </w:pPr>
    </w:p>
    <w:p w14:paraId="52A20EFF" w14:textId="0CEB000C" w:rsidR="00C616B5" w:rsidRPr="00C616B5" w:rsidRDefault="00C616B5" w:rsidP="00C616B5">
      <w:pPr>
        <w:spacing w:line="360" w:lineRule="auto"/>
        <w:jc w:val="center"/>
      </w:pPr>
      <w:r w:rsidRPr="00C616B5">
        <w:t>Рисунок 1</w:t>
      </w:r>
      <w:r w:rsidR="00DA1CF9" w:rsidRPr="00DA1CF9">
        <w:t>3</w:t>
      </w:r>
      <w:r w:rsidRPr="00C616B5">
        <w:t xml:space="preserve"> – Кругов</w:t>
      </w:r>
      <w:r>
        <w:t>ая</w:t>
      </w:r>
      <w:r w:rsidRPr="00C616B5">
        <w:t xml:space="preserve"> диаграмм</w:t>
      </w:r>
      <w:r>
        <w:t>а</w:t>
      </w:r>
      <w:r w:rsidRPr="00C616B5">
        <w:t xml:space="preserve"> с распределением количества пострадавших в несчастных случаях за период 2011-2020 гг. по виду допускающего документа</w:t>
      </w:r>
    </w:p>
    <w:p w14:paraId="2E263649" w14:textId="4046D3EE" w:rsidR="00C616B5" w:rsidRDefault="00C616B5" w:rsidP="00C616B5">
      <w:pPr>
        <w:spacing w:line="360" w:lineRule="auto"/>
        <w:ind w:firstLine="708"/>
        <w:jc w:val="both"/>
      </w:pPr>
    </w:p>
    <w:p w14:paraId="50D76FFF" w14:textId="41247743" w:rsidR="003D1886" w:rsidRDefault="00C616B5" w:rsidP="00C616B5">
      <w:pPr>
        <w:tabs>
          <w:tab w:val="left" w:pos="284"/>
        </w:tabs>
        <w:spacing w:line="360" w:lineRule="auto"/>
        <w:ind w:firstLine="709"/>
        <w:jc w:val="both"/>
      </w:pPr>
      <w:r w:rsidRPr="00C616B5">
        <w:t xml:space="preserve">Следует отметить, что у 27,1% пострадавших в несчастных случаях за период 2011-2020 гг. не был оформлен ни один из документов, разрешающих проводить работы в электроустановках, что является серьезным нарушением, как со стороны исполнителя работ, так </w:t>
      </w:r>
      <w:r w:rsidR="00CD4DE0">
        <w:t xml:space="preserve">и </w:t>
      </w:r>
      <w:r w:rsidRPr="00C616B5">
        <w:t>руководителя работ. Подобные ситуации характеризуются неудовлетворительной организацией производства работ и нарушением трудового распорядка и дисциплины труда.</w:t>
      </w:r>
    </w:p>
    <w:p w14:paraId="47BDA8D3" w14:textId="133B943D" w:rsidR="00C616B5" w:rsidRDefault="00C616B5" w:rsidP="00C616B5">
      <w:pPr>
        <w:tabs>
          <w:tab w:val="left" w:pos="284"/>
        </w:tabs>
        <w:spacing w:line="360" w:lineRule="auto"/>
        <w:ind w:firstLine="709"/>
        <w:jc w:val="both"/>
      </w:pPr>
      <w:r w:rsidRPr="00C616B5">
        <w:lastRenderedPageBreak/>
        <w:t>В рамках анализа актов расследования несчастных случаев с летальным исходом на энергоустановках за период 2011-2020 гг. осуществлено исследование по определению наиболее часто нарушаемых пунктов и разделов правил по охране труда при эксплуатации электроустановок.</w:t>
      </w:r>
    </w:p>
    <w:p w14:paraId="309F5E2F" w14:textId="3BCDAF65" w:rsidR="00C616B5" w:rsidRPr="00C616B5" w:rsidRDefault="00C616B5" w:rsidP="00C616B5">
      <w:pPr>
        <w:spacing w:line="360" w:lineRule="auto"/>
        <w:ind w:firstLine="708"/>
        <w:jc w:val="both"/>
      </w:pPr>
      <w:r w:rsidRPr="00C616B5">
        <w:t xml:space="preserve">Распределение долей пострадавших за период 2011-2020 гг. на энергоустановках с разделением по разделам ПОТЭУ приведено в таблице </w:t>
      </w:r>
      <w:r>
        <w:t>1</w:t>
      </w:r>
      <w:r w:rsidRPr="00C616B5">
        <w:t xml:space="preserve"> и визуализировано на рисунке </w:t>
      </w:r>
      <w:r>
        <w:t>1</w:t>
      </w:r>
      <w:r w:rsidR="00DA1CF9" w:rsidRPr="00DA1CF9">
        <w:t>4</w:t>
      </w:r>
      <w:r w:rsidRPr="00C616B5">
        <w:t>.</w:t>
      </w:r>
    </w:p>
    <w:p w14:paraId="6CECF8A1" w14:textId="1FF4DE38" w:rsidR="00C616B5" w:rsidRPr="00C616B5" w:rsidRDefault="00C616B5" w:rsidP="00C616B5">
      <w:pPr>
        <w:spacing w:line="360" w:lineRule="auto"/>
        <w:ind w:firstLine="708"/>
        <w:jc w:val="both"/>
      </w:pPr>
      <w:r w:rsidRPr="00C616B5">
        <w:t xml:space="preserve">Таблица </w:t>
      </w:r>
      <w:r w:rsidR="00A60401">
        <w:t>1</w:t>
      </w:r>
      <w:r w:rsidRPr="00C616B5">
        <w:t>– Распределение долей пострадавших в несчастных случаях за период 2011-2020 гг. на энергоустановках с разделением по разделам ПОТЭУ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1"/>
        <w:gridCol w:w="2940"/>
      </w:tblGrid>
      <w:tr w:rsidR="00C616B5" w:rsidRPr="00C616B5" w14:paraId="797C906F" w14:textId="77777777" w:rsidTr="007D4472">
        <w:trPr>
          <w:trHeight w:val="809"/>
        </w:trPr>
        <w:tc>
          <w:tcPr>
            <w:tcW w:w="3549" w:type="pct"/>
            <w:shd w:val="clear" w:color="auto" w:fill="auto"/>
            <w:noWrap/>
            <w:vAlign w:val="center"/>
          </w:tcPr>
          <w:p w14:paraId="5A0B243C" w14:textId="77777777" w:rsidR="00C616B5" w:rsidRPr="00C616B5" w:rsidRDefault="00C616B5" w:rsidP="007D4472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C616B5">
              <w:rPr>
                <w:b/>
                <w:bCs/>
              </w:rPr>
              <w:t xml:space="preserve">Раздел ПОТЭУ </w:t>
            </w:r>
            <w:r w:rsidRPr="00C616B5">
              <w:rPr>
                <w:b/>
                <w:bCs/>
                <w:lang w:val="en-US"/>
              </w:rPr>
              <w:t>[16]</w:t>
            </w:r>
          </w:p>
        </w:tc>
        <w:tc>
          <w:tcPr>
            <w:tcW w:w="1451" w:type="pct"/>
            <w:shd w:val="clear" w:color="auto" w:fill="auto"/>
            <w:noWrap/>
            <w:vAlign w:val="center"/>
          </w:tcPr>
          <w:p w14:paraId="7879F36D" w14:textId="77777777" w:rsidR="00C616B5" w:rsidRPr="00C616B5" w:rsidRDefault="00C616B5" w:rsidP="007D4472">
            <w:pPr>
              <w:spacing w:line="360" w:lineRule="auto"/>
              <w:jc w:val="center"/>
              <w:rPr>
                <w:b/>
                <w:bCs/>
              </w:rPr>
            </w:pPr>
            <w:r w:rsidRPr="00C616B5">
              <w:rPr>
                <w:b/>
                <w:bCs/>
              </w:rPr>
              <w:t>Процент нарушений</w:t>
            </w:r>
          </w:p>
        </w:tc>
      </w:tr>
      <w:tr w:rsidR="00C616B5" w:rsidRPr="00C616B5" w14:paraId="5DF36BF6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597B0779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V. Организационные мероприятия по обеспечению безопасного проведения работ в электроустановках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5FDA8A2B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24,8%</w:t>
            </w:r>
          </w:p>
        </w:tc>
      </w:tr>
      <w:tr w:rsidR="00C616B5" w:rsidRPr="00C616B5" w14:paraId="57BE4AD9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5E819C20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IV. Охрана труда при производстве работ в действующих электроустановках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2D4F56B6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20,4%</w:t>
            </w:r>
          </w:p>
        </w:tc>
      </w:tr>
      <w:tr w:rsidR="00C616B5" w:rsidRPr="00C616B5" w14:paraId="3E721DFC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594237AD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III. Охрана труда при оперативном обслуживании и осмотрах электроустановок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5C5EDDDC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12,3%</w:t>
            </w:r>
          </w:p>
        </w:tc>
      </w:tr>
      <w:tr w:rsidR="00C616B5" w:rsidRPr="00C616B5" w14:paraId="73DA9220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3AF516F4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X. Охрана труда при подготовке рабочего места и первичном допуске бригады к работе в электроустановках по наряду-допуску и распоряжению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677E5047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5,9%</w:t>
            </w:r>
          </w:p>
        </w:tc>
      </w:tr>
      <w:tr w:rsidR="00C616B5" w:rsidRPr="00C616B5" w14:paraId="72871BAB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2324C9C4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II. Требования к работникам, допускаемым к выполнению работ в электроустановках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555D2CA8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5,0%</w:t>
            </w:r>
          </w:p>
        </w:tc>
      </w:tr>
      <w:tr w:rsidR="00C616B5" w:rsidRPr="00C616B5" w14:paraId="228A14F2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443D6BE0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XI. Надзор за бригадой. Изменения состава бригады при проведении работ в электроустановках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03605ADA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3,5%</w:t>
            </w:r>
          </w:p>
        </w:tc>
      </w:tr>
      <w:tr w:rsidR="00C616B5" w:rsidRPr="00C616B5" w14:paraId="69A7CA84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265240C9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XXXVIII. Охрана труда при выполнении работ на воздушных линиях электропередачи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3C8C33B0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3,4%</w:t>
            </w:r>
          </w:p>
        </w:tc>
      </w:tr>
      <w:tr w:rsidR="00C616B5" w:rsidRPr="00C616B5" w14:paraId="59D531D8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65111327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XX. Охрана труда при установке заземлений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5B1899E8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3,2%</w:t>
            </w:r>
          </w:p>
        </w:tc>
      </w:tr>
      <w:tr w:rsidR="00C616B5" w:rsidRPr="00C616B5" w14:paraId="05C31FC3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62E62021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XVI. Охрана труда при выполнении технических мероприятий, обеспечивающих безопасность работ со снятием напряжения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316B8B13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2,9%</w:t>
            </w:r>
          </w:p>
        </w:tc>
      </w:tr>
      <w:tr w:rsidR="00C616B5" w:rsidRPr="00C616B5" w14:paraId="41E873A6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29A636BC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VI. Организация работ в электроустановках с оформлением наряда-допуска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688E9B4B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2,7%</w:t>
            </w:r>
          </w:p>
        </w:tc>
      </w:tr>
      <w:tr w:rsidR="00C616B5" w:rsidRPr="00C616B5" w14:paraId="308F1EBB" w14:textId="77777777" w:rsidTr="007D4472">
        <w:trPr>
          <w:trHeight w:val="315"/>
        </w:trPr>
        <w:tc>
          <w:tcPr>
            <w:tcW w:w="3549" w:type="pct"/>
            <w:shd w:val="clear" w:color="auto" w:fill="auto"/>
            <w:noWrap/>
            <w:vAlign w:val="bottom"/>
            <w:hideMark/>
          </w:tcPr>
          <w:p w14:paraId="0DA97442" w14:textId="77777777" w:rsidR="00C616B5" w:rsidRPr="00C616B5" w:rsidRDefault="00C616B5" w:rsidP="007D4472">
            <w:pPr>
              <w:spacing w:line="360" w:lineRule="auto"/>
              <w:jc w:val="both"/>
            </w:pPr>
            <w:r w:rsidRPr="00C616B5">
              <w:t>XXXVII. Охрана труда при выполнении работ на кабельных линиях</w:t>
            </w: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14:paraId="38DDD05C" w14:textId="77777777" w:rsidR="00C616B5" w:rsidRPr="00C616B5" w:rsidRDefault="00C616B5" w:rsidP="007D4472">
            <w:pPr>
              <w:spacing w:line="360" w:lineRule="auto"/>
              <w:jc w:val="center"/>
            </w:pPr>
            <w:r w:rsidRPr="00C616B5">
              <w:t>1,7%</w:t>
            </w:r>
          </w:p>
        </w:tc>
      </w:tr>
    </w:tbl>
    <w:p w14:paraId="105B1FAC" w14:textId="77777777" w:rsidR="00C616B5" w:rsidRPr="0004293E" w:rsidRDefault="00C616B5" w:rsidP="00C616B5">
      <w:pPr>
        <w:spacing w:line="360" w:lineRule="auto"/>
        <w:jc w:val="both"/>
        <w:rPr>
          <w:sz w:val="28"/>
          <w:szCs w:val="28"/>
          <w:lang w:val="en-US"/>
        </w:rPr>
      </w:pPr>
      <w:r w:rsidRPr="0004293E">
        <w:rPr>
          <w:noProof/>
        </w:rPr>
        <w:lastRenderedPageBreak/>
        <w:drawing>
          <wp:inline distT="0" distB="0" distL="0" distR="0" wp14:anchorId="6F9DD7DC" wp14:editId="71446E0B">
            <wp:extent cx="6150634" cy="5253355"/>
            <wp:effectExtent l="0" t="0" r="2540" b="4445"/>
            <wp:docPr id="81" name="Диаграмма 81">
              <a:extLst xmlns:a="http://schemas.openxmlformats.org/drawingml/2006/main">
                <a:ext uri="{FF2B5EF4-FFF2-40B4-BE49-F238E27FC236}">
                  <a16:creationId xmlns:a16="http://schemas.microsoft.com/office/drawing/2014/main" id="{81782340-3FD8-449D-94B2-5B0AD29E3A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FB29231" w14:textId="3300DF82" w:rsidR="00C616B5" w:rsidRDefault="00C616B5" w:rsidP="00C616B5">
      <w:pPr>
        <w:tabs>
          <w:tab w:val="left" w:pos="284"/>
        </w:tabs>
        <w:spacing w:line="360" w:lineRule="auto"/>
        <w:ind w:firstLine="709"/>
        <w:jc w:val="both"/>
      </w:pPr>
      <w:r w:rsidRPr="00C616B5">
        <w:t xml:space="preserve">Рисунок </w:t>
      </w:r>
      <w:r>
        <w:t>1</w:t>
      </w:r>
      <w:r w:rsidR="00DA1CF9" w:rsidRPr="00DA1CF9">
        <w:t>4</w:t>
      </w:r>
      <w:r>
        <w:t xml:space="preserve"> </w:t>
      </w:r>
      <w:r w:rsidRPr="00C616B5">
        <w:t>– Круговая диаграмма с распределением количества пострадавших за период 2011-2020 гг. по разделам ПОТЭУ</w:t>
      </w:r>
    </w:p>
    <w:p w14:paraId="438B5A2A" w14:textId="77777777" w:rsidR="00DA1CF9" w:rsidRPr="00C616B5" w:rsidRDefault="00DA1CF9" w:rsidP="00C616B5">
      <w:pPr>
        <w:tabs>
          <w:tab w:val="left" w:pos="284"/>
        </w:tabs>
        <w:spacing w:line="360" w:lineRule="auto"/>
        <w:ind w:firstLine="709"/>
        <w:jc w:val="both"/>
        <w:rPr>
          <w:sz w:val="22"/>
          <w:szCs w:val="22"/>
        </w:rPr>
      </w:pPr>
    </w:p>
    <w:p w14:paraId="5A4F886B" w14:textId="77777777" w:rsidR="00C616B5" w:rsidRPr="00C616B5" w:rsidRDefault="00C616B5" w:rsidP="00C616B5">
      <w:pPr>
        <w:spacing w:line="360" w:lineRule="auto"/>
        <w:ind w:firstLine="709"/>
        <w:jc w:val="both"/>
      </w:pPr>
      <w:r w:rsidRPr="00C616B5">
        <w:t>Выявлены наиболее опасные с точки зрения вероятности возникновения летального исхода пункты ПОТЭУ, на которые необходимо обратить особое внимание при разработке программ обучения персонала по охране труда, такие как:</w:t>
      </w:r>
    </w:p>
    <w:p w14:paraId="3831549A" w14:textId="77777777" w:rsidR="00C616B5" w:rsidRPr="00C616B5" w:rsidRDefault="00C616B5" w:rsidP="00C616B5">
      <w:pPr>
        <w:spacing w:line="360" w:lineRule="auto"/>
        <w:ind w:firstLine="709"/>
        <w:jc w:val="both"/>
      </w:pPr>
      <w:r w:rsidRPr="00C616B5">
        <w:t>- п. 4.2 ПОТЭУ (11,1%) - самовольное проведение работ или расширение объемов заданий, определенных нарядом-допуском;</w:t>
      </w:r>
    </w:p>
    <w:p w14:paraId="578768B8" w14:textId="77777777" w:rsidR="00C616B5" w:rsidRPr="00C616B5" w:rsidRDefault="00C616B5" w:rsidP="00C616B5">
      <w:pPr>
        <w:spacing w:line="360" w:lineRule="auto"/>
        <w:ind w:firstLine="709"/>
        <w:jc w:val="both"/>
      </w:pPr>
      <w:r w:rsidRPr="00C616B5">
        <w:t>- п. 3.3 ПОТЭУ (6,1%) – приближение на недопустимое расстояние к находящимся под напряжением не огражденным или неизолированным токоведущим частям электроустановок;</w:t>
      </w:r>
    </w:p>
    <w:p w14:paraId="00C92D58" w14:textId="77777777" w:rsidR="00C616B5" w:rsidRPr="00C616B5" w:rsidRDefault="00C616B5" w:rsidP="00C616B5">
      <w:pPr>
        <w:spacing w:line="360" w:lineRule="auto"/>
        <w:ind w:firstLine="709"/>
        <w:jc w:val="both"/>
      </w:pPr>
      <w:r w:rsidRPr="00C616B5">
        <w:t>- п. 5.9 ПОТЭУ (5,9%) – организационные нарушения или нарушения технологического процесса со стороны производителей работ;</w:t>
      </w:r>
    </w:p>
    <w:p w14:paraId="40DD3BEC" w14:textId="77777777" w:rsidR="00C616B5" w:rsidRPr="00C616B5" w:rsidRDefault="00C616B5" w:rsidP="00C616B5">
      <w:pPr>
        <w:spacing w:line="360" w:lineRule="auto"/>
        <w:ind w:firstLine="709"/>
        <w:jc w:val="both"/>
      </w:pPr>
      <w:r w:rsidRPr="00C616B5">
        <w:t>- п. 5.7 ПОТЭУ (5,3%) – отсутствие мероприятий по подготовке рабочего места или их недостаточности или в рамках неполного/некачественного проведения целевого инструктажа бригады со стороны ответственного руководителя работ;</w:t>
      </w:r>
    </w:p>
    <w:p w14:paraId="025093FF" w14:textId="77777777" w:rsidR="00C616B5" w:rsidRPr="00C616B5" w:rsidRDefault="00C616B5" w:rsidP="00C616B5">
      <w:pPr>
        <w:spacing w:line="360" w:lineRule="auto"/>
        <w:ind w:firstLine="709"/>
        <w:jc w:val="both"/>
      </w:pPr>
      <w:r w:rsidRPr="00C616B5">
        <w:lastRenderedPageBreak/>
        <w:t>- п. 4.1 ПОТЭУ (4,8%) – отсутствие или не оформление наряда-допуска или распоряжения для выполнения работ на электроустановках;</w:t>
      </w:r>
    </w:p>
    <w:p w14:paraId="7EECB7AE" w14:textId="684A529C" w:rsidR="00C616B5" w:rsidRDefault="00C616B5" w:rsidP="00A60401">
      <w:pPr>
        <w:tabs>
          <w:tab w:val="left" w:pos="284"/>
        </w:tabs>
        <w:spacing w:line="360" w:lineRule="auto"/>
        <w:ind w:firstLine="709"/>
      </w:pPr>
      <w:r w:rsidRPr="00C616B5">
        <w:t>-  п. 5.3 ПОТЭУ (3,8%) – неправильность указания мер безопасности или численного состава бригады, или группы по электробезопасности со стороны работника, выдающего наряд-допуск/распоряжение.</w:t>
      </w:r>
    </w:p>
    <w:p w14:paraId="6AA29EC6" w14:textId="77777777" w:rsidR="00C616B5" w:rsidRPr="00C616B5" w:rsidRDefault="00C616B5" w:rsidP="00C616B5">
      <w:pPr>
        <w:tabs>
          <w:tab w:val="left" w:pos="284"/>
        </w:tabs>
        <w:spacing w:line="360" w:lineRule="auto"/>
        <w:ind w:firstLine="284"/>
        <w:rPr>
          <w:sz w:val="22"/>
          <w:szCs w:val="22"/>
        </w:rPr>
      </w:pPr>
    </w:p>
    <w:p w14:paraId="73F07B9A" w14:textId="333D8F1F" w:rsidR="00154890" w:rsidRPr="009E1464" w:rsidRDefault="00C616B5" w:rsidP="00C616B5">
      <w:pPr>
        <w:pStyle w:val="a7"/>
        <w:numPr>
          <w:ilvl w:val="0"/>
          <w:numId w:val="3"/>
        </w:numPr>
        <w:spacing w:line="360" w:lineRule="auto"/>
        <w:ind w:left="0" w:firstLine="0"/>
        <w:jc w:val="center"/>
        <w:rPr>
          <w:b/>
        </w:rPr>
      </w:pPr>
      <w:r w:rsidRPr="009E1464">
        <w:rPr>
          <w:b/>
        </w:rPr>
        <w:t>Рекомендации по снижению</w:t>
      </w:r>
      <w:r>
        <w:rPr>
          <w:b/>
        </w:rPr>
        <w:t xml:space="preserve"> уровня</w:t>
      </w:r>
      <w:r w:rsidR="00E255D2" w:rsidRPr="009E1464">
        <w:rPr>
          <w:b/>
        </w:rPr>
        <w:t xml:space="preserve"> </w:t>
      </w:r>
      <w:r w:rsidRPr="009E1464">
        <w:rPr>
          <w:b/>
        </w:rPr>
        <w:t xml:space="preserve">смертельного травматизма в энергоустановках организаций, подконтрольных органам </w:t>
      </w:r>
      <w:r>
        <w:rPr>
          <w:b/>
        </w:rPr>
        <w:t>Р</w:t>
      </w:r>
      <w:r w:rsidRPr="009E1464">
        <w:rPr>
          <w:b/>
        </w:rPr>
        <w:t>остехнадзора</w:t>
      </w:r>
    </w:p>
    <w:p w14:paraId="1F0EDA8E" w14:textId="7BD36D8E" w:rsidR="00550269" w:rsidRPr="00466F84" w:rsidRDefault="00550269" w:rsidP="00C82917">
      <w:pPr>
        <w:spacing w:line="360" w:lineRule="auto"/>
        <w:ind w:firstLine="709"/>
        <w:jc w:val="both"/>
      </w:pPr>
      <w:r w:rsidRPr="00466F84">
        <w:t>Анализ ре</w:t>
      </w:r>
      <w:r w:rsidR="00720B07" w:rsidRPr="00466F84">
        <w:t>зультатов</w:t>
      </w:r>
      <w:r w:rsidRPr="00466F84">
        <w:t xml:space="preserve"> расследований несчастных случаев со смертельным исходом на объектах, поднадзорных Ростехнадзору, показал, что несмотря на тенденцию </w:t>
      </w:r>
      <w:r w:rsidR="00720B07" w:rsidRPr="00466F84">
        <w:t>снижения уровня</w:t>
      </w:r>
      <w:r w:rsidRPr="00466F84">
        <w:t xml:space="preserve"> смертельного травматизма на рассматриваемых объектах</w:t>
      </w:r>
      <w:r w:rsidR="00CD4DE0" w:rsidRPr="00466F84">
        <w:t xml:space="preserve"> с 2011 до 2020 года</w:t>
      </w:r>
      <w:r w:rsidRPr="00466F84">
        <w:t xml:space="preserve">, </w:t>
      </w:r>
      <w:r w:rsidR="00720B07" w:rsidRPr="00466F84">
        <w:t>уменьшение количества несчастных случаев</w:t>
      </w:r>
      <w:r w:rsidRPr="00466F84">
        <w:t xml:space="preserve"> незначительн</w:t>
      </w:r>
      <w:r w:rsidR="00720B07" w:rsidRPr="00466F84">
        <w:t>о</w:t>
      </w:r>
      <w:r w:rsidRPr="00466F84">
        <w:t>, что свидетельствует о необходимости поиска новых путей снижения</w:t>
      </w:r>
      <w:r w:rsidR="00720B07" w:rsidRPr="00466F84">
        <w:t xml:space="preserve"> уровня</w:t>
      </w:r>
      <w:r w:rsidRPr="00466F84">
        <w:t xml:space="preserve"> травматизма. </w:t>
      </w:r>
    </w:p>
    <w:p w14:paraId="17E33FCD" w14:textId="3236C4CC" w:rsidR="00550269" w:rsidRPr="00466F84" w:rsidRDefault="00CD4DE0" w:rsidP="00C82917">
      <w:pPr>
        <w:spacing w:line="360" w:lineRule="auto"/>
        <w:ind w:firstLine="709"/>
        <w:jc w:val="both"/>
      </w:pPr>
      <w:r w:rsidRPr="00466F84">
        <w:t>При разработке</w:t>
      </w:r>
      <w:r w:rsidR="00550269" w:rsidRPr="00466F84">
        <w:t xml:space="preserve"> мероприятий, </w:t>
      </w:r>
      <w:r w:rsidR="00720B07" w:rsidRPr="00466F84">
        <w:t>способствующих</w:t>
      </w:r>
      <w:r w:rsidR="00550269" w:rsidRPr="00466F84">
        <w:t xml:space="preserve"> снижени</w:t>
      </w:r>
      <w:r w:rsidR="00720B07" w:rsidRPr="00466F84">
        <w:t>ю уровня производственного травматизма на предприятиях,</w:t>
      </w:r>
      <w:r w:rsidR="00550269" w:rsidRPr="00466F84">
        <w:t xml:space="preserve"> </w:t>
      </w:r>
      <w:r w:rsidRPr="00466F84">
        <w:t>необходимо учитывать</w:t>
      </w:r>
      <w:r w:rsidR="00550269" w:rsidRPr="00466F84">
        <w:t xml:space="preserve"> следующие рекомендации:</w:t>
      </w:r>
    </w:p>
    <w:p w14:paraId="1D39E3D3" w14:textId="372E4D12" w:rsidR="00466F84" w:rsidRPr="00466F84" w:rsidRDefault="00CD4DE0" w:rsidP="00466F84">
      <w:pPr>
        <w:pStyle w:val="a7"/>
        <w:numPr>
          <w:ilvl w:val="0"/>
          <w:numId w:val="6"/>
        </w:numPr>
        <w:spacing w:line="360" w:lineRule="auto"/>
        <w:ind w:left="0" w:firstLine="0"/>
        <w:jc w:val="both"/>
      </w:pPr>
      <w:r w:rsidRPr="00466F84">
        <w:t>Наибольшее влияние на рост травматизма оказывают организационные и психофизиологические причины</w:t>
      </w:r>
      <w:r w:rsidR="00466F84" w:rsidRPr="00466F84">
        <w:t>. Для контроля влияния последних прежде всего целесообразно учитывать профессию, возраст и стаж работника, а также по возможности ввести на предприятиях оценку профессиональной пригодности работников на этапе приема на работу и в процессе трудовой деятельности. Кроме того, целесообразно формировать на предприятиях перечень профилактических мер, направленных на повышение мотивации работников на безопасное проведение работ.</w:t>
      </w:r>
    </w:p>
    <w:p w14:paraId="04134729" w14:textId="36F221F4" w:rsidR="00550269" w:rsidRPr="00466F84" w:rsidRDefault="00AB758B" w:rsidP="00AB758B">
      <w:pPr>
        <w:pStyle w:val="a7"/>
        <w:numPr>
          <w:ilvl w:val="0"/>
          <w:numId w:val="6"/>
        </w:numPr>
        <w:spacing w:line="360" w:lineRule="auto"/>
        <w:ind w:left="0" w:firstLine="0"/>
        <w:jc w:val="both"/>
      </w:pPr>
      <w:r w:rsidRPr="00466F84">
        <w:t xml:space="preserve">При </w:t>
      </w:r>
      <w:r w:rsidR="00466F84" w:rsidRPr="00466F84">
        <w:t xml:space="preserve">формировании графиков </w:t>
      </w:r>
      <w:r w:rsidRPr="00466F84">
        <w:t>обучени</w:t>
      </w:r>
      <w:r w:rsidR="00720B07" w:rsidRPr="00466F84">
        <w:t>и</w:t>
      </w:r>
      <w:r w:rsidRPr="00466F84">
        <w:t xml:space="preserve"> работников</w:t>
      </w:r>
      <w:r w:rsidR="00720B07" w:rsidRPr="00466F84">
        <w:t xml:space="preserve"> и организации работ на предприятиях учесть</w:t>
      </w:r>
      <w:r w:rsidRPr="00466F84">
        <w:t>, что наибольшее количество несчастных случаев со смертельным исходом происходи</w:t>
      </w:r>
      <w:r w:rsidR="00720B07" w:rsidRPr="00466F84">
        <w:t>ло</w:t>
      </w:r>
      <w:r w:rsidR="00466F84" w:rsidRPr="00466F84">
        <w:t xml:space="preserve"> в период с июня по сентябрь</w:t>
      </w:r>
      <w:r w:rsidRPr="00466F84">
        <w:t>.</w:t>
      </w:r>
    </w:p>
    <w:p w14:paraId="2766E995" w14:textId="15CC6466" w:rsidR="00A82186" w:rsidRPr="00466F84" w:rsidRDefault="009050B1" w:rsidP="00466F84">
      <w:pPr>
        <w:pStyle w:val="a7"/>
        <w:numPr>
          <w:ilvl w:val="0"/>
          <w:numId w:val="6"/>
        </w:numPr>
        <w:spacing w:line="360" w:lineRule="auto"/>
        <w:ind w:left="0" w:firstLine="0"/>
        <w:jc w:val="both"/>
      </w:pPr>
      <w:r w:rsidRPr="00466F84">
        <w:t>Наличие комплексной зависимости</w:t>
      </w:r>
      <w:r w:rsidR="00720B07" w:rsidRPr="00466F84">
        <w:t xml:space="preserve"> уровня</w:t>
      </w:r>
      <w:r w:rsidRPr="00466F84">
        <w:t xml:space="preserve"> травматизма от возраста и стажа работников за 2017-2019 гг. </w:t>
      </w:r>
      <w:r w:rsidR="00EE7B2E" w:rsidRPr="00466F84">
        <w:t>определяет целесообразность</w:t>
      </w:r>
      <w:r w:rsidRPr="00466F84">
        <w:t xml:space="preserve"> разработк</w:t>
      </w:r>
      <w:r w:rsidR="00EE7B2E" w:rsidRPr="00466F84">
        <w:t>и</w:t>
      </w:r>
      <w:r w:rsidRPr="00466F84">
        <w:t xml:space="preserve"> дифференцированных мероприятий по обучению и проверкам знаний работников в зависимости от их возраста и стажа</w:t>
      </w:r>
      <w:r w:rsidR="00EE7B2E" w:rsidRPr="00466F84">
        <w:t>. При этом необходимо учитывать, что наибольшее количество несчастных случаев происходит</w:t>
      </w:r>
      <w:r w:rsidR="00720B07" w:rsidRPr="00466F84">
        <w:t xml:space="preserve"> с работниками до 25 лет</w:t>
      </w:r>
      <w:r w:rsidR="00EE7B2E" w:rsidRPr="00466F84">
        <w:t>, когда их стаж не превышает 12 месяцев. Для работников в возрасте от 26 до 4</w:t>
      </w:r>
      <w:r w:rsidR="00A24DCB" w:rsidRPr="00466F84">
        <w:t>5</w:t>
      </w:r>
      <w:r w:rsidR="00EE7B2E" w:rsidRPr="00466F84">
        <w:t xml:space="preserve"> лет наибольшее количество </w:t>
      </w:r>
      <w:r w:rsidR="00D61158" w:rsidRPr="00466F84">
        <w:t>несчастных случаев</w:t>
      </w:r>
      <w:r w:rsidR="00EE7B2E" w:rsidRPr="00466F84">
        <w:t xml:space="preserve"> происходи</w:t>
      </w:r>
      <w:r w:rsidR="00D61158" w:rsidRPr="00466F84">
        <w:t>ло</w:t>
      </w:r>
      <w:r w:rsidR="00EE7B2E" w:rsidRPr="00466F84">
        <w:t xml:space="preserve"> при</w:t>
      </w:r>
      <w:r w:rsidR="00D61158" w:rsidRPr="00466F84">
        <w:t xml:space="preserve"> их</w:t>
      </w:r>
      <w:r w:rsidR="00EE7B2E" w:rsidRPr="00466F84">
        <w:t xml:space="preserve"> стаже от 4 до 7 лет, а в возрасте выше 4</w:t>
      </w:r>
      <w:r w:rsidR="00A24DCB" w:rsidRPr="00466F84">
        <w:t>5</w:t>
      </w:r>
      <w:r w:rsidR="00EE7B2E" w:rsidRPr="00466F84">
        <w:t xml:space="preserve"> лет – при стаже выше </w:t>
      </w:r>
      <w:r w:rsidR="00A24DCB" w:rsidRPr="00466F84">
        <w:t>11-15</w:t>
      </w:r>
      <w:r w:rsidR="00EE7B2E" w:rsidRPr="00466F84">
        <w:t xml:space="preserve"> лет.</w:t>
      </w:r>
    </w:p>
    <w:p w14:paraId="5D34552D" w14:textId="138DEC8F" w:rsidR="00466F84" w:rsidRPr="00466F84" w:rsidRDefault="00466F84" w:rsidP="00466F84">
      <w:pPr>
        <w:pStyle w:val="a7"/>
        <w:numPr>
          <w:ilvl w:val="0"/>
          <w:numId w:val="6"/>
        </w:numPr>
        <w:spacing w:line="360" w:lineRule="auto"/>
        <w:ind w:left="0" w:firstLine="0"/>
        <w:jc w:val="both"/>
      </w:pPr>
      <w:r w:rsidRPr="00466F84">
        <w:t>При проведении обучения оперативного и ремонтного персонала необходимо акцентировать внимание на разделы, перечень которых приведен в п.3 данного отчета.</w:t>
      </w:r>
    </w:p>
    <w:sectPr w:rsidR="00466F84" w:rsidRPr="00466F84" w:rsidSect="008D504E">
      <w:footerReference w:type="even" r:id="rId24"/>
      <w:footerReference w:type="default" r:id="rId25"/>
      <w:pgSz w:w="11900" w:h="16840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984C" w14:textId="77777777" w:rsidR="00275E12" w:rsidRDefault="00275E12" w:rsidP="009E1464">
      <w:r>
        <w:separator/>
      </w:r>
    </w:p>
  </w:endnote>
  <w:endnote w:type="continuationSeparator" w:id="0">
    <w:p w14:paraId="25FE5FB2" w14:textId="77777777" w:rsidR="00275E12" w:rsidRDefault="00275E12" w:rsidP="009E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5702619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662C5728" w14:textId="77777777" w:rsidR="00D11B0B" w:rsidRDefault="00D11B0B" w:rsidP="009E1464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4E18855A" w14:textId="77777777" w:rsidR="00D11B0B" w:rsidRDefault="00D11B0B" w:rsidP="009E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987062605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05188B3A" w14:textId="77777777" w:rsidR="00D11B0B" w:rsidRDefault="00D11B0B" w:rsidP="009E1464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4960B8">
          <w:rPr>
            <w:rStyle w:val="aa"/>
            <w:noProof/>
          </w:rPr>
          <w:t>12</w:t>
        </w:r>
        <w:r>
          <w:rPr>
            <w:rStyle w:val="aa"/>
          </w:rPr>
          <w:fldChar w:fldCharType="end"/>
        </w:r>
      </w:p>
    </w:sdtContent>
  </w:sdt>
  <w:p w14:paraId="19A1E51F" w14:textId="77777777" w:rsidR="00D11B0B" w:rsidRDefault="00D11B0B" w:rsidP="009E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EEC8" w14:textId="77777777" w:rsidR="00275E12" w:rsidRDefault="00275E12" w:rsidP="009E1464">
      <w:r>
        <w:separator/>
      </w:r>
    </w:p>
  </w:footnote>
  <w:footnote w:type="continuationSeparator" w:id="0">
    <w:p w14:paraId="008502BC" w14:textId="77777777" w:rsidR="00275E12" w:rsidRDefault="00275E12" w:rsidP="009E1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5C6"/>
    <w:multiLevelType w:val="hybridMultilevel"/>
    <w:tmpl w:val="4364AC6C"/>
    <w:lvl w:ilvl="0" w:tplc="99141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0A52"/>
    <w:multiLevelType w:val="multilevel"/>
    <w:tmpl w:val="0D887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03E7215"/>
    <w:multiLevelType w:val="hybridMultilevel"/>
    <w:tmpl w:val="C74E86A6"/>
    <w:lvl w:ilvl="0" w:tplc="99141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2969"/>
    <w:multiLevelType w:val="hybridMultilevel"/>
    <w:tmpl w:val="743ED1A0"/>
    <w:lvl w:ilvl="0" w:tplc="0AEC5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C166AD"/>
    <w:multiLevelType w:val="hybridMultilevel"/>
    <w:tmpl w:val="64963734"/>
    <w:lvl w:ilvl="0" w:tplc="5B508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4870EC"/>
    <w:multiLevelType w:val="multilevel"/>
    <w:tmpl w:val="9D78A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 w15:restartNumberingAfterBreak="0">
    <w:nsid w:val="7867677E"/>
    <w:multiLevelType w:val="multilevel"/>
    <w:tmpl w:val="45263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0A2"/>
    <w:rsid w:val="00005172"/>
    <w:rsid w:val="00031E51"/>
    <w:rsid w:val="000336FC"/>
    <w:rsid w:val="0004584D"/>
    <w:rsid w:val="00047A94"/>
    <w:rsid w:val="00060C85"/>
    <w:rsid w:val="000709A9"/>
    <w:rsid w:val="00077639"/>
    <w:rsid w:val="00082032"/>
    <w:rsid w:val="00094B7D"/>
    <w:rsid w:val="000A3FCF"/>
    <w:rsid w:val="000A478B"/>
    <w:rsid w:val="000C5D3A"/>
    <w:rsid w:val="000D0F02"/>
    <w:rsid w:val="000D1D8F"/>
    <w:rsid w:val="000D3A06"/>
    <w:rsid w:val="000E1E26"/>
    <w:rsid w:val="000E3D0A"/>
    <w:rsid w:val="000E55A2"/>
    <w:rsid w:val="000E680D"/>
    <w:rsid w:val="00101241"/>
    <w:rsid w:val="0010799C"/>
    <w:rsid w:val="00107D97"/>
    <w:rsid w:val="00114A63"/>
    <w:rsid w:val="001215D2"/>
    <w:rsid w:val="00121B5C"/>
    <w:rsid w:val="00122052"/>
    <w:rsid w:val="00123D76"/>
    <w:rsid w:val="00126DA8"/>
    <w:rsid w:val="0013145E"/>
    <w:rsid w:val="00144C97"/>
    <w:rsid w:val="00152F2A"/>
    <w:rsid w:val="001535F5"/>
    <w:rsid w:val="00154890"/>
    <w:rsid w:val="00171536"/>
    <w:rsid w:val="00175317"/>
    <w:rsid w:val="00191317"/>
    <w:rsid w:val="00191966"/>
    <w:rsid w:val="00194646"/>
    <w:rsid w:val="001A21AA"/>
    <w:rsid w:val="001B514E"/>
    <w:rsid w:val="001B69B0"/>
    <w:rsid w:val="001C06A1"/>
    <w:rsid w:val="001C3B38"/>
    <w:rsid w:val="001D4BC8"/>
    <w:rsid w:val="001D66F2"/>
    <w:rsid w:val="001F3F1A"/>
    <w:rsid w:val="002145AA"/>
    <w:rsid w:val="00223571"/>
    <w:rsid w:val="00227C21"/>
    <w:rsid w:val="00232229"/>
    <w:rsid w:val="00233E22"/>
    <w:rsid w:val="00240788"/>
    <w:rsid w:val="002438C2"/>
    <w:rsid w:val="00245E9D"/>
    <w:rsid w:val="00250148"/>
    <w:rsid w:val="00250444"/>
    <w:rsid w:val="002533FD"/>
    <w:rsid w:val="0025445A"/>
    <w:rsid w:val="00262A36"/>
    <w:rsid w:val="002647F5"/>
    <w:rsid w:val="00275E12"/>
    <w:rsid w:val="002802D9"/>
    <w:rsid w:val="00281211"/>
    <w:rsid w:val="0028540C"/>
    <w:rsid w:val="00291FBC"/>
    <w:rsid w:val="002A02EA"/>
    <w:rsid w:val="002C0290"/>
    <w:rsid w:val="002D0243"/>
    <w:rsid w:val="002E1707"/>
    <w:rsid w:val="002E6428"/>
    <w:rsid w:val="002F5543"/>
    <w:rsid w:val="002F5AC3"/>
    <w:rsid w:val="0030193E"/>
    <w:rsid w:val="00317BF3"/>
    <w:rsid w:val="00335935"/>
    <w:rsid w:val="00337A83"/>
    <w:rsid w:val="00344AE1"/>
    <w:rsid w:val="00345AE8"/>
    <w:rsid w:val="00347395"/>
    <w:rsid w:val="0036751F"/>
    <w:rsid w:val="00381A21"/>
    <w:rsid w:val="00382B08"/>
    <w:rsid w:val="0039593C"/>
    <w:rsid w:val="003A2432"/>
    <w:rsid w:val="003A46BD"/>
    <w:rsid w:val="003B2CCD"/>
    <w:rsid w:val="003D0F69"/>
    <w:rsid w:val="003D1886"/>
    <w:rsid w:val="003E0A3E"/>
    <w:rsid w:val="003E2049"/>
    <w:rsid w:val="003E51EA"/>
    <w:rsid w:val="003F74C8"/>
    <w:rsid w:val="00404169"/>
    <w:rsid w:val="00404C24"/>
    <w:rsid w:val="00421905"/>
    <w:rsid w:val="00421C76"/>
    <w:rsid w:val="00422D4A"/>
    <w:rsid w:val="00424884"/>
    <w:rsid w:val="0042539E"/>
    <w:rsid w:val="00425FC4"/>
    <w:rsid w:val="004322D8"/>
    <w:rsid w:val="00433108"/>
    <w:rsid w:val="00434CD2"/>
    <w:rsid w:val="00437B95"/>
    <w:rsid w:val="00447A96"/>
    <w:rsid w:val="00456C1D"/>
    <w:rsid w:val="00462127"/>
    <w:rsid w:val="0046482F"/>
    <w:rsid w:val="0046625F"/>
    <w:rsid w:val="00466F84"/>
    <w:rsid w:val="00473471"/>
    <w:rsid w:val="0047350E"/>
    <w:rsid w:val="00474434"/>
    <w:rsid w:val="0047626F"/>
    <w:rsid w:val="00476E24"/>
    <w:rsid w:val="004829F6"/>
    <w:rsid w:val="0048514B"/>
    <w:rsid w:val="00494170"/>
    <w:rsid w:val="004960B8"/>
    <w:rsid w:val="004A2BAE"/>
    <w:rsid w:val="004A3621"/>
    <w:rsid w:val="004A4BD9"/>
    <w:rsid w:val="004C2BEC"/>
    <w:rsid w:val="004C71CD"/>
    <w:rsid w:val="004D019B"/>
    <w:rsid w:val="004E201F"/>
    <w:rsid w:val="004E4058"/>
    <w:rsid w:val="004F2574"/>
    <w:rsid w:val="004F262A"/>
    <w:rsid w:val="00501D52"/>
    <w:rsid w:val="00503CBB"/>
    <w:rsid w:val="0052504B"/>
    <w:rsid w:val="005270A7"/>
    <w:rsid w:val="00530437"/>
    <w:rsid w:val="00532E53"/>
    <w:rsid w:val="005348F1"/>
    <w:rsid w:val="00534D96"/>
    <w:rsid w:val="0053672F"/>
    <w:rsid w:val="005377B5"/>
    <w:rsid w:val="00541C50"/>
    <w:rsid w:val="005458DA"/>
    <w:rsid w:val="00550269"/>
    <w:rsid w:val="005510EA"/>
    <w:rsid w:val="00557B2E"/>
    <w:rsid w:val="00562C1D"/>
    <w:rsid w:val="0056568C"/>
    <w:rsid w:val="00566143"/>
    <w:rsid w:val="00566E14"/>
    <w:rsid w:val="00567F7A"/>
    <w:rsid w:val="00571327"/>
    <w:rsid w:val="00575EE6"/>
    <w:rsid w:val="0058150C"/>
    <w:rsid w:val="00584E9C"/>
    <w:rsid w:val="00586860"/>
    <w:rsid w:val="00587F12"/>
    <w:rsid w:val="00590415"/>
    <w:rsid w:val="00594B90"/>
    <w:rsid w:val="005B1521"/>
    <w:rsid w:val="005B48FE"/>
    <w:rsid w:val="005B78BC"/>
    <w:rsid w:val="005C2D17"/>
    <w:rsid w:val="005C4595"/>
    <w:rsid w:val="005C7130"/>
    <w:rsid w:val="005D37E8"/>
    <w:rsid w:val="005D4DD5"/>
    <w:rsid w:val="005E0E76"/>
    <w:rsid w:val="005E53C6"/>
    <w:rsid w:val="005E60A4"/>
    <w:rsid w:val="005E69D2"/>
    <w:rsid w:val="005F2846"/>
    <w:rsid w:val="0060104E"/>
    <w:rsid w:val="006139AE"/>
    <w:rsid w:val="006165EA"/>
    <w:rsid w:val="00620972"/>
    <w:rsid w:val="006219CE"/>
    <w:rsid w:val="00623E7D"/>
    <w:rsid w:val="00630868"/>
    <w:rsid w:val="00636351"/>
    <w:rsid w:val="00652258"/>
    <w:rsid w:val="0065367B"/>
    <w:rsid w:val="00653F0A"/>
    <w:rsid w:val="006603A2"/>
    <w:rsid w:val="00660712"/>
    <w:rsid w:val="00662C49"/>
    <w:rsid w:val="00666E01"/>
    <w:rsid w:val="006817A7"/>
    <w:rsid w:val="00686008"/>
    <w:rsid w:val="00692170"/>
    <w:rsid w:val="006970A2"/>
    <w:rsid w:val="006A0E74"/>
    <w:rsid w:val="006A153B"/>
    <w:rsid w:val="006B7644"/>
    <w:rsid w:val="006C5AF2"/>
    <w:rsid w:val="006D3B8D"/>
    <w:rsid w:val="006D46F0"/>
    <w:rsid w:val="006E264A"/>
    <w:rsid w:val="006E7526"/>
    <w:rsid w:val="006F797C"/>
    <w:rsid w:val="00710C4D"/>
    <w:rsid w:val="007111E0"/>
    <w:rsid w:val="007129AA"/>
    <w:rsid w:val="00713FED"/>
    <w:rsid w:val="00720B07"/>
    <w:rsid w:val="00723F8F"/>
    <w:rsid w:val="00726953"/>
    <w:rsid w:val="0075158C"/>
    <w:rsid w:val="007525AA"/>
    <w:rsid w:val="00754DEF"/>
    <w:rsid w:val="00756FBE"/>
    <w:rsid w:val="00770465"/>
    <w:rsid w:val="00784366"/>
    <w:rsid w:val="00791654"/>
    <w:rsid w:val="007926D5"/>
    <w:rsid w:val="00794469"/>
    <w:rsid w:val="007A1F0D"/>
    <w:rsid w:val="007A52B6"/>
    <w:rsid w:val="007B4B40"/>
    <w:rsid w:val="007B686D"/>
    <w:rsid w:val="007C1CCB"/>
    <w:rsid w:val="007D0FD7"/>
    <w:rsid w:val="007D2FAA"/>
    <w:rsid w:val="007F305D"/>
    <w:rsid w:val="0080302D"/>
    <w:rsid w:val="00806401"/>
    <w:rsid w:val="00812E73"/>
    <w:rsid w:val="008156E7"/>
    <w:rsid w:val="00821EF1"/>
    <w:rsid w:val="0082387C"/>
    <w:rsid w:val="0082528D"/>
    <w:rsid w:val="00843A9D"/>
    <w:rsid w:val="00850ED0"/>
    <w:rsid w:val="00855974"/>
    <w:rsid w:val="00860F0E"/>
    <w:rsid w:val="0087593C"/>
    <w:rsid w:val="00885F5A"/>
    <w:rsid w:val="008B1985"/>
    <w:rsid w:val="008C074B"/>
    <w:rsid w:val="008C73C5"/>
    <w:rsid w:val="008D03CA"/>
    <w:rsid w:val="008D1E6F"/>
    <w:rsid w:val="008D504E"/>
    <w:rsid w:val="008E0274"/>
    <w:rsid w:val="008E1F54"/>
    <w:rsid w:val="008E253F"/>
    <w:rsid w:val="008E4861"/>
    <w:rsid w:val="008E4908"/>
    <w:rsid w:val="008E5A87"/>
    <w:rsid w:val="00900F54"/>
    <w:rsid w:val="009024EB"/>
    <w:rsid w:val="00902CA9"/>
    <w:rsid w:val="00902F6D"/>
    <w:rsid w:val="009033EC"/>
    <w:rsid w:val="009038E5"/>
    <w:rsid w:val="009050B1"/>
    <w:rsid w:val="00905DCA"/>
    <w:rsid w:val="00914850"/>
    <w:rsid w:val="00924036"/>
    <w:rsid w:val="00926D02"/>
    <w:rsid w:val="00933403"/>
    <w:rsid w:val="00934221"/>
    <w:rsid w:val="00940DAE"/>
    <w:rsid w:val="0095693F"/>
    <w:rsid w:val="009608EB"/>
    <w:rsid w:val="00974E58"/>
    <w:rsid w:val="009754F0"/>
    <w:rsid w:val="00980F47"/>
    <w:rsid w:val="009907BE"/>
    <w:rsid w:val="00996585"/>
    <w:rsid w:val="009A08C8"/>
    <w:rsid w:val="009A71BB"/>
    <w:rsid w:val="009C1D3A"/>
    <w:rsid w:val="009E1464"/>
    <w:rsid w:val="009E30FE"/>
    <w:rsid w:val="009F0CD1"/>
    <w:rsid w:val="009F3960"/>
    <w:rsid w:val="009F677F"/>
    <w:rsid w:val="009F74CB"/>
    <w:rsid w:val="00A121A2"/>
    <w:rsid w:val="00A1513C"/>
    <w:rsid w:val="00A22ED9"/>
    <w:rsid w:val="00A23D26"/>
    <w:rsid w:val="00A24618"/>
    <w:rsid w:val="00A24DCB"/>
    <w:rsid w:val="00A3070B"/>
    <w:rsid w:val="00A35EF8"/>
    <w:rsid w:val="00A3622D"/>
    <w:rsid w:val="00A36645"/>
    <w:rsid w:val="00A3679C"/>
    <w:rsid w:val="00A41884"/>
    <w:rsid w:val="00A475B0"/>
    <w:rsid w:val="00A507BC"/>
    <w:rsid w:val="00A60401"/>
    <w:rsid w:val="00A621C0"/>
    <w:rsid w:val="00A67A03"/>
    <w:rsid w:val="00A758B2"/>
    <w:rsid w:val="00A82186"/>
    <w:rsid w:val="00A947AE"/>
    <w:rsid w:val="00A95E0E"/>
    <w:rsid w:val="00A97216"/>
    <w:rsid w:val="00AA37B2"/>
    <w:rsid w:val="00AA397F"/>
    <w:rsid w:val="00AB6DCD"/>
    <w:rsid w:val="00AB758B"/>
    <w:rsid w:val="00AC1612"/>
    <w:rsid w:val="00AC184B"/>
    <w:rsid w:val="00AC5932"/>
    <w:rsid w:val="00AC5B6F"/>
    <w:rsid w:val="00AC7667"/>
    <w:rsid w:val="00AD11E8"/>
    <w:rsid w:val="00AD4286"/>
    <w:rsid w:val="00AE1615"/>
    <w:rsid w:val="00AE6D13"/>
    <w:rsid w:val="00AE7B9F"/>
    <w:rsid w:val="00B0230C"/>
    <w:rsid w:val="00B04F1E"/>
    <w:rsid w:val="00B05504"/>
    <w:rsid w:val="00B217A3"/>
    <w:rsid w:val="00B2222C"/>
    <w:rsid w:val="00B2594F"/>
    <w:rsid w:val="00B34E0A"/>
    <w:rsid w:val="00B34F01"/>
    <w:rsid w:val="00B37C1A"/>
    <w:rsid w:val="00B40E82"/>
    <w:rsid w:val="00B5213A"/>
    <w:rsid w:val="00B52FA1"/>
    <w:rsid w:val="00B615AC"/>
    <w:rsid w:val="00B61611"/>
    <w:rsid w:val="00B61B7A"/>
    <w:rsid w:val="00B63A15"/>
    <w:rsid w:val="00B63DF0"/>
    <w:rsid w:val="00B646FA"/>
    <w:rsid w:val="00B65C2D"/>
    <w:rsid w:val="00B66123"/>
    <w:rsid w:val="00B702AF"/>
    <w:rsid w:val="00B72765"/>
    <w:rsid w:val="00B7351C"/>
    <w:rsid w:val="00B742CE"/>
    <w:rsid w:val="00B77672"/>
    <w:rsid w:val="00B840D8"/>
    <w:rsid w:val="00B84A7D"/>
    <w:rsid w:val="00B90F94"/>
    <w:rsid w:val="00B95068"/>
    <w:rsid w:val="00BA3DD8"/>
    <w:rsid w:val="00BD14AE"/>
    <w:rsid w:val="00BD2DF6"/>
    <w:rsid w:val="00BE4C39"/>
    <w:rsid w:val="00C05339"/>
    <w:rsid w:val="00C05EC6"/>
    <w:rsid w:val="00C127C2"/>
    <w:rsid w:val="00C168CE"/>
    <w:rsid w:val="00C21D5D"/>
    <w:rsid w:val="00C342D6"/>
    <w:rsid w:val="00C37441"/>
    <w:rsid w:val="00C45C12"/>
    <w:rsid w:val="00C467F7"/>
    <w:rsid w:val="00C5076A"/>
    <w:rsid w:val="00C54960"/>
    <w:rsid w:val="00C616B5"/>
    <w:rsid w:val="00C82917"/>
    <w:rsid w:val="00CA02C8"/>
    <w:rsid w:val="00CA1D4D"/>
    <w:rsid w:val="00CA3918"/>
    <w:rsid w:val="00CA41F2"/>
    <w:rsid w:val="00CB4787"/>
    <w:rsid w:val="00CB6C13"/>
    <w:rsid w:val="00CC1387"/>
    <w:rsid w:val="00CC3A83"/>
    <w:rsid w:val="00CD0880"/>
    <w:rsid w:val="00CD42EB"/>
    <w:rsid w:val="00CD4DE0"/>
    <w:rsid w:val="00CE11FE"/>
    <w:rsid w:val="00CE4945"/>
    <w:rsid w:val="00CE7D5D"/>
    <w:rsid w:val="00D0515A"/>
    <w:rsid w:val="00D11B0B"/>
    <w:rsid w:val="00D167FD"/>
    <w:rsid w:val="00D242D0"/>
    <w:rsid w:val="00D25404"/>
    <w:rsid w:val="00D26713"/>
    <w:rsid w:val="00D338E0"/>
    <w:rsid w:val="00D402F0"/>
    <w:rsid w:val="00D4467C"/>
    <w:rsid w:val="00D476C7"/>
    <w:rsid w:val="00D502BC"/>
    <w:rsid w:val="00D61158"/>
    <w:rsid w:val="00D754B8"/>
    <w:rsid w:val="00D80443"/>
    <w:rsid w:val="00D80968"/>
    <w:rsid w:val="00D93FAF"/>
    <w:rsid w:val="00DA1CF9"/>
    <w:rsid w:val="00DA3418"/>
    <w:rsid w:val="00DA6F09"/>
    <w:rsid w:val="00DB1E3D"/>
    <w:rsid w:val="00DB1F9F"/>
    <w:rsid w:val="00DB3211"/>
    <w:rsid w:val="00DB4825"/>
    <w:rsid w:val="00DB640B"/>
    <w:rsid w:val="00DB7F76"/>
    <w:rsid w:val="00DC066B"/>
    <w:rsid w:val="00DC1608"/>
    <w:rsid w:val="00DC1AB1"/>
    <w:rsid w:val="00DC6E8B"/>
    <w:rsid w:val="00DC75E8"/>
    <w:rsid w:val="00DD3193"/>
    <w:rsid w:val="00DD3217"/>
    <w:rsid w:val="00DD5E0B"/>
    <w:rsid w:val="00DD63C5"/>
    <w:rsid w:val="00DF1DF1"/>
    <w:rsid w:val="00DF2720"/>
    <w:rsid w:val="00E0057F"/>
    <w:rsid w:val="00E00B1C"/>
    <w:rsid w:val="00E02A93"/>
    <w:rsid w:val="00E049C1"/>
    <w:rsid w:val="00E255D2"/>
    <w:rsid w:val="00E2647F"/>
    <w:rsid w:val="00E30E38"/>
    <w:rsid w:val="00E3121C"/>
    <w:rsid w:val="00E313C0"/>
    <w:rsid w:val="00E32744"/>
    <w:rsid w:val="00E40B4A"/>
    <w:rsid w:val="00E43029"/>
    <w:rsid w:val="00E45E8A"/>
    <w:rsid w:val="00E46E2B"/>
    <w:rsid w:val="00E537C1"/>
    <w:rsid w:val="00E5596A"/>
    <w:rsid w:val="00E644ED"/>
    <w:rsid w:val="00E97E9E"/>
    <w:rsid w:val="00EA753F"/>
    <w:rsid w:val="00EB25C8"/>
    <w:rsid w:val="00EB31F1"/>
    <w:rsid w:val="00EB500E"/>
    <w:rsid w:val="00EC0B0D"/>
    <w:rsid w:val="00EC50D1"/>
    <w:rsid w:val="00EC5210"/>
    <w:rsid w:val="00ED20DB"/>
    <w:rsid w:val="00ED3AA6"/>
    <w:rsid w:val="00ED738E"/>
    <w:rsid w:val="00EE54B7"/>
    <w:rsid w:val="00EE6C36"/>
    <w:rsid w:val="00EE7B2E"/>
    <w:rsid w:val="00F00352"/>
    <w:rsid w:val="00F03974"/>
    <w:rsid w:val="00F06289"/>
    <w:rsid w:val="00F12010"/>
    <w:rsid w:val="00F15F89"/>
    <w:rsid w:val="00F174E2"/>
    <w:rsid w:val="00F247F6"/>
    <w:rsid w:val="00F335B7"/>
    <w:rsid w:val="00F40D09"/>
    <w:rsid w:val="00F629CF"/>
    <w:rsid w:val="00F838D4"/>
    <w:rsid w:val="00F94E82"/>
    <w:rsid w:val="00F95D03"/>
    <w:rsid w:val="00FA067C"/>
    <w:rsid w:val="00FA4054"/>
    <w:rsid w:val="00FB5635"/>
    <w:rsid w:val="00FC4B1A"/>
    <w:rsid w:val="00FD5EE2"/>
    <w:rsid w:val="00FE57AC"/>
    <w:rsid w:val="00FF06C5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3627"/>
  <w15:docId w15:val="{4C334EF5-853E-4A0C-901F-DA848A44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43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2387C"/>
    <w:pPr>
      <w:spacing w:before="100" w:beforeAutospacing="1" w:after="100" w:afterAutospacing="1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458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8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73471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9E14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1464"/>
    <w:rPr>
      <w:rFonts w:ascii="Times New Roman" w:eastAsia="Times New Roman" w:hAnsi="Times New Roman" w:cs="Times New Roman"/>
      <w:lang w:eastAsia="ru-RU"/>
    </w:rPr>
  </w:style>
  <w:style w:type="character" w:styleId="aa">
    <w:name w:val="page number"/>
    <w:basedOn w:val="a0"/>
    <w:uiPriority w:val="99"/>
    <w:semiHidden/>
    <w:unhideWhenUsed/>
    <w:rsid w:val="009E1464"/>
  </w:style>
  <w:style w:type="paragraph" w:styleId="ab">
    <w:name w:val="header"/>
    <w:basedOn w:val="a"/>
    <w:link w:val="ac"/>
    <w:uiPriority w:val="99"/>
    <w:unhideWhenUsed/>
    <w:rsid w:val="004A2B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A2BAE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iff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tiff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23" Type="http://schemas.openxmlformats.org/officeDocument/2006/relationships/chart" Target="charts/chart1.xml"/><Relationship Id="rId10" Type="http://schemas.openxmlformats.org/officeDocument/2006/relationships/image" Target="media/image3.tif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tiff"/><Relationship Id="rId22" Type="http://schemas.openxmlformats.org/officeDocument/2006/relationships/image" Target="media/image15.tiff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&#1047;&#1072;&#1075;&#1088;&#1091;&#1079;&#1082;&#1080;\&#1040;&#1085;&#1072;&#1083;&#1080;&#1079;%20&#1090;&#1088;&#1072;&#1074;&#1084;&#1072;&#1090;&#1080;&#1079;&#1084;&#1072;%20(22_0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091519377752773"/>
          <c:y val="4.7896246983136104E-2"/>
          <c:w val="0.40951141431500288"/>
          <c:h val="0.4794545580871652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2CF-449D-9895-15374EB4BB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2CF-449D-9895-15374EB4BB0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2CF-449D-9895-15374EB4BB0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2CF-449D-9895-15374EB4BB0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2CF-449D-9895-15374EB4BB0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2CF-449D-9895-15374EB4BB0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2CF-449D-9895-15374EB4BB0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2CF-449D-9895-15374EB4BB0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52CF-449D-9895-15374EB4BB0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52CF-449D-9895-15374EB4BB0C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52CF-449D-9895-15374EB4BB0C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52CF-449D-9895-15374EB4BB0C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52CF-449D-9895-15374EB4BB0C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52CF-449D-9895-15374EB4BB0C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52CF-449D-9895-15374EB4BB0C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52CF-449D-9895-15374EB4BB0C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52CF-449D-9895-15374EB4BB0C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52CF-449D-9895-15374EB4BB0C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52CF-449D-9895-15374EB4BB0C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52CF-449D-9895-15374EB4BB0C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52CF-449D-9895-15374EB4BB0C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52CF-449D-9895-15374EB4BB0C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D-52CF-449D-9895-15374EB4BB0C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F-52CF-449D-9895-15374EB4BB0C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1-52CF-449D-9895-15374EB4BB0C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3-52CF-449D-9895-15374EB4BB0C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5-52CF-449D-9895-15374EB4BB0C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7-52CF-449D-9895-15374EB4BB0C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9-52CF-449D-9895-15374EB4BB0C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B-52CF-449D-9895-15374EB4BB0C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D-52CF-449D-9895-15374EB4BB0C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F-52CF-449D-9895-15374EB4BB0C}"/>
              </c:ext>
            </c:extLst>
          </c:dPt>
          <c:dLbls>
            <c:dLbl>
              <c:idx val="0"/>
              <c:layout>
                <c:manualLayout>
                  <c:x val="3.770566143657323E-2"/>
                  <c:y val="4.123552657722520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CF-449D-9895-15374EB4BB0C}"/>
                </c:ext>
              </c:extLst>
            </c:dLbl>
            <c:dLbl>
              <c:idx val="1"/>
              <c:layout>
                <c:manualLayout>
                  <c:x val="-6.0734049053558529E-3"/>
                  <c:y val="1.4870093866971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CF-449D-9895-15374EB4BB0C}"/>
                </c:ext>
              </c:extLst>
            </c:dLbl>
            <c:dLbl>
              <c:idx val="2"/>
              <c:layout>
                <c:manualLayout>
                  <c:x val="-6.1222876655105778E-2"/>
                  <c:y val="-1.9031677838240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2CF-449D-9895-15374EB4BB0C}"/>
                </c:ext>
              </c:extLst>
            </c:dLbl>
            <c:dLbl>
              <c:idx val="3"/>
              <c:layout>
                <c:manualLayout>
                  <c:x val="-3.3046175804490145E-3"/>
                  <c:y val="2.9749770427119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2CF-449D-9895-15374EB4BB0C}"/>
                </c:ext>
              </c:extLst>
            </c:dLbl>
            <c:dLbl>
              <c:idx val="4"/>
              <c:layout>
                <c:manualLayout>
                  <c:x val="-3.551679418067423E-3"/>
                  <c:y val="-4.67081427587705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2CF-449D-9895-15374EB4BB0C}"/>
                </c:ext>
              </c:extLst>
            </c:dLbl>
            <c:dLbl>
              <c:idx val="5"/>
              <c:layout>
                <c:manualLayout>
                  <c:x val="-5.0817151069839986E-3"/>
                  <c:y val="-2.26885233923272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2CF-449D-9895-15374EB4BB0C}"/>
                </c:ext>
              </c:extLst>
            </c:dLbl>
            <c:dLbl>
              <c:idx val="6"/>
              <c:layout>
                <c:manualLayout>
                  <c:x val="3.1371292500163846E-3"/>
                  <c:y val="-5.1141635648936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2CF-449D-9895-15374EB4BB0C}"/>
                </c:ext>
              </c:extLst>
            </c:dLbl>
            <c:dLbl>
              <c:idx val="7"/>
              <c:layout>
                <c:manualLayout>
                  <c:x val="-1.701363672774143E-3"/>
                  <c:y val="-1.45746774038750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2CF-449D-9895-15374EB4BB0C}"/>
                </c:ext>
              </c:extLst>
            </c:dLbl>
            <c:dLbl>
              <c:idx val="8"/>
              <c:layout>
                <c:manualLayout>
                  <c:x val="3.639329437629795E-3"/>
                  <c:y val="5.4625842996256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2CF-449D-9895-15374EB4BB0C}"/>
                </c:ext>
              </c:extLst>
            </c:dLbl>
            <c:dLbl>
              <c:idx val="9"/>
              <c:layout>
                <c:manualLayout>
                  <c:x val="1.153352447745958E-3"/>
                  <c:y val="4.32943083144686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2CF-449D-9895-15374EB4BB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ПОТЭУ!$AR$2:$AR$33</c:f>
              <c:strCache>
                <c:ptCount val="32"/>
                <c:pt idx="0">
                  <c:v>V. Организационные мероприятия по обеспечению безопасного проведения работ в электроустановках</c:v>
                </c:pt>
                <c:pt idx="1">
                  <c:v>IV. Охрана труда при производстве работ в действующих электроустановках</c:v>
                </c:pt>
                <c:pt idx="2">
                  <c:v>III. Охрана труда при оперативном обслуживании и осмотрах электроустановок</c:v>
                </c:pt>
                <c:pt idx="3">
                  <c:v>X. Охрана труда при подготовке рабочего места и первичном допуске бригады к работе в электроустановках по наряду-допуску и распоряжению</c:v>
                </c:pt>
                <c:pt idx="4">
                  <c:v>II. Требования к работникам, допускаемым к выполнению работ в электроустановках</c:v>
                </c:pt>
                <c:pt idx="5">
                  <c:v>XI. Надзор за бригадой. Изменения состава бригады при проведении работ в электроустановках</c:v>
                </c:pt>
                <c:pt idx="6">
                  <c:v>XXXVIII. Охрана труда при выполнении работ на воздушных линиях электропередачи</c:v>
                </c:pt>
                <c:pt idx="7">
                  <c:v>XX. Охрана труда при установке заземлений</c:v>
                </c:pt>
                <c:pt idx="8">
                  <c:v>XVI. Охрана труда при выполнении технических мероприятий, обеспечивающих безопасность работ со снятием напряжения</c:v>
                </c:pt>
                <c:pt idx="9">
                  <c:v>VI. Организация работ в электроустановках с оформлением наряда-допуска</c:v>
                </c:pt>
                <c:pt idx="10">
                  <c:v>XXXVII. Охрана труда при выполнении работ на кабельных линиях</c:v>
                </c:pt>
                <c:pt idx="11">
                  <c:v>XXII. Охрана труда при установке заземлений на ВЛ</c:v>
                </c:pt>
                <c:pt idx="12">
                  <c:v>XXIII. Ограждение рабочего места, вывешивание плакатов безопасности</c:v>
                </c:pt>
                <c:pt idx="13">
                  <c:v>XVII. Охрана труда при выполнении отключений в электроустановках</c:v>
                </c:pt>
                <c:pt idx="14">
                  <c:v>XXI. Охрана труда при установке заземлений в распределительных устройствах</c:v>
                </c:pt>
                <c:pt idx="15">
                  <c:v>IX. Охрана труда при выдаче разрешений на подготовку рабочего места и допуск к работе в электроустановках</c:v>
                </c:pt>
                <c:pt idx="16">
                  <c:v>XIX. Охрана труда при проверке отсутствия напряжения</c:v>
                </c:pt>
                <c:pt idx="17">
                  <c:v>XLV. Охрана труда при выполнении работ в электроустановках с применением автомобилей, грузоподъемных машин и механизмов, лестниц</c:v>
                </c:pt>
                <c:pt idx="18">
                  <c:v>VII. Организация работ в электроустановках по распоряжению</c:v>
                </c:pt>
                <c:pt idx="19">
                  <c:v>XVIII. Вывешивание запрещающих плакатов</c:v>
                </c:pt>
                <c:pt idx="20">
                  <c:v>XLVI. Охрана труда при организации работ командированного персонала</c:v>
                </c:pt>
                <c:pt idx="21">
                  <c:v>XXXIX. Охрана труда при проведении испытаний и измерений. Испытания электрооборудования с подачей повышенного напряжения от постороннего источника</c:v>
                </c:pt>
                <c:pt idx="22">
                  <c:v>VIII. Охрана труда при организации работ в электроустановках, выполняемых по перечню работ в порядке текущей эксплуатации</c:v>
                </c:pt>
                <c:pt idx="23">
                  <c:v>XIV. Сдача-приемка рабочего места, закрытие наряда-допуска, распоряжения после окончания работы в электроустановках</c:v>
                </c:pt>
                <c:pt idx="24">
                  <c:v>XLVII. Охрана труда при допуске персонала строительно-монтажных организаций к работам в действующих электроустановках и в охранной зоне линий электропередачи</c:v>
                </c:pt>
                <c:pt idx="25">
                  <c:v>XV. Охрана труда при включении электроустановок после полного окончания работ</c:v>
                </c:pt>
                <c:pt idx="26">
                  <c:v>XLIV. Охрана труда при работе с переносным электроинструментом и светильниками, ручными электрическими машинами, разделительными трансформаторами</c:v>
                </c:pt>
                <c:pt idx="27">
                  <c:v>XXIV. Охрана труда при работах в зоне влияния электрического и магнитного полей</c:v>
                </c:pt>
                <c:pt idx="28">
                  <c:v>XL. Охрана труда при обмыве и чистке изоляторов под напряжением</c:v>
                </c:pt>
                <c:pt idx="29">
                  <c:v>XXVIII. Охрана труда при выполнении работ на коммутационных аппаратах</c:v>
                </c:pt>
                <c:pt idx="30">
                  <c:v>XXIX. Охрана труда при выполнении работ в комплектных распределительных устройствах</c:v>
                </c:pt>
                <c:pt idx="31">
                  <c:v>XIII. Оформление перерывов в работе и повторных допусков к работе в электроустановке</c:v>
                </c:pt>
              </c:strCache>
            </c:strRef>
          </c:cat>
          <c:val>
            <c:numRef>
              <c:f>ПОТЭУ!$AT$2:$AT$33</c:f>
              <c:numCache>
                <c:formatCode>0.0%</c:formatCode>
                <c:ptCount val="32"/>
                <c:pt idx="0">
                  <c:v>0.24843610366398569</c:v>
                </c:pt>
                <c:pt idx="1">
                  <c:v>0.20375335120643431</c:v>
                </c:pt>
                <c:pt idx="2">
                  <c:v>0.12332439678284182</c:v>
                </c:pt>
                <c:pt idx="3">
                  <c:v>5.8981233243967826E-2</c:v>
                </c:pt>
                <c:pt idx="4">
                  <c:v>5.0044682752457555E-2</c:v>
                </c:pt>
                <c:pt idx="5">
                  <c:v>3.4852546916890083E-2</c:v>
                </c:pt>
                <c:pt idx="6">
                  <c:v>3.3958891867739052E-2</c:v>
                </c:pt>
                <c:pt idx="7">
                  <c:v>3.2171581769436998E-2</c:v>
                </c:pt>
                <c:pt idx="8">
                  <c:v>2.8596961572832886E-2</c:v>
                </c:pt>
                <c:pt idx="9">
                  <c:v>2.6809651474530832E-2</c:v>
                </c:pt>
                <c:pt idx="10">
                  <c:v>1.6979445933869526E-2</c:v>
                </c:pt>
                <c:pt idx="11">
                  <c:v>1.6979445933869526E-2</c:v>
                </c:pt>
                <c:pt idx="12">
                  <c:v>1.4298480786416443E-2</c:v>
                </c:pt>
                <c:pt idx="13">
                  <c:v>1.3404825737265416E-2</c:v>
                </c:pt>
                <c:pt idx="14">
                  <c:v>1.2511170688114389E-2</c:v>
                </c:pt>
                <c:pt idx="15">
                  <c:v>1.161751563896336E-2</c:v>
                </c:pt>
                <c:pt idx="16">
                  <c:v>1.0723860589812333E-2</c:v>
                </c:pt>
                <c:pt idx="17">
                  <c:v>1.0723860589812333E-2</c:v>
                </c:pt>
                <c:pt idx="18">
                  <c:v>8.9365504915102766E-3</c:v>
                </c:pt>
                <c:pt idx="19">
                  <c:v>8.0428954423592495E-3</c:v>
                </c:pt>
                <c:pt idx="20">
                  <c:v>8.0428954423592495E-3</c:v>
                </c:pt>
                <c:pt idx="21">
                  <c:v>7.1492403932082215E-3</c:v>
                </c:pt>
                <c:pt idx="22">
                  <c:v>4.4682752457551383E-3</c:v>
                </c:pt>
                <c:pt idx="23">
                  <c:v>3.5746201966041107E-3</c:v>
                </c:pt>
                <c:pt idx="24">
                  <c:v>3.5746201966041107E-3</c:v>
                </c:pt>
                <c:pt idx="25">
                  <c:v>1.7873100983020554E-3</c:v>
                </c:pt>
                <c:pt idx="26">
                  <c:v>1.7873100983020554E-3</c:v>
                </c:pt>
                <c:pt idx="27">
                  <c:v>8.9365504915102768E-4</c:v>
                </c:pt>
                <c:pt idx="28">
                  <c:v>8.9365504915102768E-4</c:v>
                </c:pt>
                <c:pt idx="29">
                  <c:v>8.9365504915102768E-4</c:v>
                </c:pt>
                <c:pt idx="30">
                  <c:v>8.9365504915102768E-4</c:v>
                </c:pt>
                <c:pt idx="31">
                  <c:v>8.9365504915102768E-4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0-52CF-449D-9895-15374EB4BB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8064387109571249E-2"/>
          <c:y val="0.55767447659638458"/>
          <c:w val="0.96387122578085749"/>
          <c:h val="0.435519967715869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185552-5A48-4122-83AD-89FA40C7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Loktionov</dc:creator>
  <cp:lastModifiedBy>ИЭиОТ</cp:lastModifiedBy>
  <cp:revision>11</cp:revision>
  <dcterms:created xsi:type="dcterms:W3CDTF">2021-04-27T16:46:00Z</dcterms:created>
  <dcterms:modified xsi:type="dcterms:W3CDTF">2021-04-28T13:22:00Z</dcterms:modified>
</cp:coreProperties>
</file>